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851" w:type="dxa"/>
        <w:tblLook w:val="04A0" w:firstRow="1" w:lastRow="0" w:firstColumn="1" w:lastColumn="0" w:noHBand="0" w:noVBand="1"/>
      </w:tblPr>
      <w:tblGrid>
        <w:gridCol w:w="4326"/>
        <w:gridCol w:w="1814"/>
        <w:gridCol w:w="4492"/>
      </w:tblGrid>
      <w:tr w:rsidR="00011CD4" w:rsidRPr="00517AF3" w14:paraId="70437B94" w14:textId="305FFC7E" w:rsidTr="003D4CF9">
        <w:trPr>
          <w:trHeight w:val="2694"/>
        </w:trPr>
        <w:tc>
          <w:tcPr>
            <w:tcW w:w="10632" w:type="dxa"/>
            <w:gridSpan w:val="3"/>
            <w:tcBorders>
              <w:top w:val="nil"/>
              <w:left w:val="nil"/>
              <w:bottom w:val="nil"/>
              <w:right w:val="nil"/>
            </w:tcBorders>
          </w:tcPr>
          <w:p w14:paraId="749A0E65" w14:textId="0925417B" w:rsidR="00B5216D" w:rsidRDefault="00B5216D" w:rsidP="00B5216D">
            <w:pPr>
              <w:bidi/>
              <w:spacing w:after="200"/>
              <w:contextualSpacing/>
              <w:jc w:val="center"/>
              <w:rPr>
                <w:rFonts w:ascii="Times New Roman" w:eastAsia="Microsoft Sans Serif" w:hAnsi="Times New Roman" w:cs="Times New Roman"/>
                <w:b/>
                <w:bCs/>
                <w:sz w:val="28"/>
                <w:szCs w:val="28"/>
                <w:rtl/>
              </w:rPr>
            </w:pPr>
            <w:r w:rsidRPr="004457AB">
              <w:rPr>
                <w:rFonts w:ascii="Times New Roman" w:eastAsia="Microsoft Sans Serif" w:hAnsi="Times New Roman" w:cs="Times New Roman"/>
                <w:b/>
                <w:bCs/>
                <w:sz w:val="28"/>
                <w:szCs w:val="28"/>
              </w:rPr>
              <w:t xml:space="preserve">Verification of Glypican 4 and Hormonal Changes in Patients with Polycystic Ovarian Syndrome: A </w:t>
            </w:r>
            <w:r w:rsidR="005A5AE3">
              <w:rPr>
                <w:rFonts w:ascii="Times New Roman" w:eastAsia="Microsoft Sans Serif" w:hAnsi="Times New Roman" w:cs="Times New Roman"/>
                <w:b/>
                <w:bCs/>
                <w:sz w:val="28"/>
                <w:szCs w:val="28"/>
              </w:rPr>
              <w:t>C</w:t>
            </w:r>
            <w:r w:rsidRPr="004457AB">
              <w:rPr>
                <w:rFonts w:ascii="Times New Roman" w:eastAsia="Microsoft Sans Serif" w:hAnsi="Times New Roman" w:cs="Times New Roman"/>
                <w:b/>
                <w:bCs/>
                <w:sz w:val="28"/>
                <w:szCs w:val="28"/>
              </w:rPr>
              <w:t>ase-</w:t>
            </w:r>
            <w:r w:rsidR="005A5AE3">
              <w:rPr>
                <w:rFonts w:ascii="Times New Roman" w:eastAsia="Microsoft Sans Serif" w:hAnsi="Times New Roman" w:cs="Times New Roman"/>
                <w:b/>
                <w:bCs/>
                <w:sz w:val="28"/>
                <w:szCs w:val="28"/>
              </w:rPr>
              <w:t>C</w:t>
            </w:r>
            <w:r w:rsidRPr="004457AB">
              <w:rPr>
                <w:rFonts w:ascii="Times New Roman" w:eastAsia="Microsoft Sans Serif" w:hAnsi="Times New Roman" w:cs="Times New Roman"/>
                <w:b/>
                <w:bCs/>
                <w:sz w:val="28"/>
                <w:szCs w:val="28"/>
              </w:rPr>
              <w:t xml:space="preserve">ontrol </w:t>
            </w:r>
            <w:r w:rsidR="005A5AE3">
              <w:rPr>
                <w:rFonts w:ascii="Times New Roman" w:eastAsia="Microsoft Sans Serif" w:hAnsi="Times New Roman" w:cs="Times New Roman"/>
                <w:b/>
                <w:bCs/>
                <w:sz w:val="28"/>
                <w:szCs w:val="28"/>
              </w:rPr>
              <w:t>S</w:t>
            </w:r>
            <w:r w:rsidRPr="004457AB">
              <w:rPr>
                <w:rFonts w:ascii="Times New Roman" w:eastAsia="Microsoft Sans Serif" w:hAnsi="Times New Roman" w:cs="Times New Roman"/>
                <w:b/>
                <w:bCs/>
                <w:sz w:val="28"/>
                <w:szCs w:val="28"/>
              </w:rPr>
              <w:t>tudy</w:t>
            </w:r>
          </w:p>
          <w:p w14:paraId="071D5BAA" w14:textId="77777777" w:rsidR="00B5216D" w:rsidRPr="004457AB" w:rsidRDefault="00B5216D" w:rsidP="00B5216D">
            <w:pPr>
              <w:bidi/>
              <w:spacing w:after="200"/>
              <w:contextualSpacing/>
              <w:jc w:val="center"/>
              <w:rPr>
                <w:rFonts w:ascii="Times New Roman" w:eastAsia="Calibri" w:hAnsi="Times New Roman" w:cs="Times New Roman"/>
                <w:b/>
                <w:bCs/>
                <w:sz w:val="24"/>
                <w:lang w:bidi="ar-IQ"/>
              </w:rPr>
            </w:pPr>
          </w:p>
          <w:p w14:paraId="77278ECB" w14:textId="0AAE4CEB" w:rsidR="00F03769" w:rsidRPr="00FD6D2B" w:rsidRDefault="00B5216D" w:rsidP="00B5216D">
            <w:pPr>
              <w:spacing w:after="200" w:line="360" w:lineRule="auto"/>
              <w:jc w:val="center"/>
              <w:rPr>
                <w:rFonts w:ascii="Times New Roman" w:eastAsia="Calibri" w:hAnsi="Times New Roman" w:cs="Times New Roman"/>
                <w:sz w:val="24"/>
                <w:vertAlign w:val="superscript"/>
                <w:lang w:bidi="ar-IQ"/>
              </w:rPr>
            </w:pPr>
            <w:r w:rsidRPr="00FD6D2B">
              <w:rPr>
                <w:rFonts w:ascii="Times New Roman" w:eastAsia="Calibri" w:hAnsi="Times New Roman" w:cs="Times New Roman"/>
                <w:sz w:val="24"/>
                <w:lang w:bidi="ar-IQ"/>
              </w:rPr>
              <w:t>Elaf K. Ghanim</w:t>
            </w:r>
            <w:r w:rsidR="000949AD">
              <w:rPr>
                <w:rFonts w:ascii="Times New Roman" w:eastAsia="Calibri" w:hAnsi="Times New Roman" w:cs="Times New Roman"/>
                <w:sz w:val="24"/>
                <w:lang w:bidi="ar-IQ"/>
              </w:rPr>
              <w:t xml:space="preserve"> </w:t>
            </w:r>
            <w:r w:rsidRPr="00FD6D2B">
              <w:rPr>
                <w:rFonts w:ascii="Times New Roman" w:eastAsia="Calibri" w:hAnsi="Times New Roman" w:cs="Times New Roman"/>
                <w:sz w:val="24"/>
                <w:vertAlign w:val="superscript"/>
                <w:lang w:bidi="ar-IQ"/>
              </w:rPr>
              <w:t>1</w:t>
            </w:r>
            <w:r w:rsidR="00047E19" w:rsidRPr="00FD6D2B">
              <w:rPr>
                <w:rFonts w:ascii="Times New Roman" w:eastAsia="Calibri" w:hAnsi="Times New Roman" w:cs="Times New Roman"/>
                <w:sz w:val="24"/>
                <w:lang w:bidi="ar-IQ"/>
              </w:rPr>
              <w:t>,</w:t>
            </w:r>
            <w:r w:rsidRPr="00FD6D2B">
              <w:rPr>
                <w:rFonts w:ascii="Times New Roman" w:eastAsia="Calibri" w:hAnsi="Times New Roman" w:cs="Times New Roman"/>
                <w:sz w:val="24"/>
                <w:lang w:bidi="ar-IQ"/>
              </w:rPr>
              <w:t xml:space="preserve"> Salim J. Khalaf</w:t>
            </w:r>
            <w:r w:rsidR="000949AD">
              <w:rPr>
                <w:rFonts w:ascii="Times New Roman" w:eastAsia="Calibri" w:hAnsi="Times New Roman" w:cs="Times New Roman"/>
                <w:sz w:val="24"/>
                <w:lang w:bidi="ar-IQ"/>
              </w:rPr>
              <w:t xml:space="preserve"> </w:t>
            </w:r>
            <w:r w:rsidR="000949AD" w:rsidRPr="00AA3C14">
              <w:rPr>
                <w:rFonts w:ascii="Georgia" w:hAnsi="Georgia" w:cs="Times New Roman"/>
                <w:noProof/>
                <w:color w:val="000000"/>
                <w:sz w:val="20"/>
                <w:szCs w:val="20"/>
                <w:lang w:eastAsia="en-GB"/>
              </w:rPr>
              <w:drawing>
                <wp:inline distT="0" distB="0" distL="0" distR="0" wp14:anchorId="7D28A829" wp14:editId="5BC994E5">
                  <wp:extent cx="108204" cy="108204"/>
                  <wp:effectExtent l="0" t="0" r="6350" b="6350"/>
                  <wp:docPr id="1185005653" name="Graphic 118500565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05653" name="Graphic 1185005653">
                            <a:hlinkClick r:id="rId8"/>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11411" cy="111411"/>
                          </a:xfrm>
                          <a:prstGeom prst="rect">
                            <a:avLst/>
                          </a:prstGeom>
                        </pic:spPr>
                      </pic:pic>
                    </a:graphicData>
                  </a:graphic>
                </wp:inline>
              </w:drawing>
            </w:r>
            <w:r w:rsidR="00031284">
              <w:rPr>
                <w:rFonts w:ascii="Times New Roman" w:eastAsia="Calibri" w:hAnsi="Times New Roman" w:cs="Times New Roman"/>
                <w:sz w:val="24"/>
                <w:lang w:bidi="ar-IQ"/>
              </w:rPr>
              <w:t xml:space="preserve"> </w:t>
            </w:r>
            <w:r w:rsidR="003727BE" w:rsidRPr="00FD6D2B">
              <w:rPr>
                <w:rFonts w:asciiTheme="majorBidi" w:hAnsiTheme="majorBidi" w:cstheme="majorBidi"/>
                <w:sz w:val="24"/>
                <w:vertAlign w:val="superscript"/>
              </w:rPr>
              <w:t>*</w:t>
            </w:r>
            <w:r w:rsidRPr="00FD6D2B">
              <w:rPr>
                <w:rFonts w:ascii="Times New Roman" w:eastAsia="Calibri" w:hAnsi="Times New Roman" w:cs="Times New Roman"/>
                <w:sz w:val="24"/>
                <w:vertAlign w:val="superscript"/>
                <w:lang w:bidi="ar-IQ"/>
              </w:rPr>
              <w:t>2</w:t>
            </w:r>
          </w:p>
          <w:p w14:paraId="346ACBF7" w14:textId="425BA773" w:rsidR="00B5216D" w:rsidRPr="00B5216D" w:rsidRDefault="00B5216D" w:rsidP="00B5216D">
            <w:pPr>
              <w:rPr>
                <w:rFonts w:asciiTheme="majorBidi" w:hAnsiTheme="majorBidi" w:cstheme="majorBidi"/>
                <w:sz w:val="20"/>
                <w:szCs w:val="20"/>
                <w:lang w:bidi="ar-IQ"/>
              </w:rPr>
            </w:pPr>
            <w:r w:rsidRPr="00B5216D">
              <w:rPr>
                <w:rFonts w:asciiTheme="majorBidi" w:hAnsiTheme="majorBidi" w:cstheme="majorBidi"/>
                <w:sz w:val="20"/>
                <w:szCs w:val="20"/>
                <w:vertAlign w:val="superscript"/>
                <w:lang w:bidi="ar-IQ"/>
              </w:rPr>
              <w:t xml:space="preserve">1 </w:t>
            </w:r>
            <w:r w:rsidRPr="00B5216D">
              <w:rPr>
                <w:rFonts w:asciiTheme="majorBidi" w:hAnsiTheme="majorBidi" w:cstheme="majorBidi"/>
                <w:sz w:val="20"/>
                <w:szCs w:val="20"/>
                <w:lang w:bidi="ar-IQ"/>
              </w:rPr>
              <w:t>Kirkuk Health Directorate, Tikrit, Iraq</w:t>
            </w:r>
          </w:p>
          <w:p w14:paraId="001F924F" w14:textId="0083E756" w:rsidR="00B5216D" w:rsidRPr="00B5216D" w:rsidRDefault="00B5216D" w:rsidP="00B5216D">
            <w:pPr>
              <w:rPr>
                <w:rFonts w:asciiTheme="majorBidi" w:hAnsiTheme="majorBidi" w:cstheme="majorBidi"/>
                <w:sz w:val="20"/>
                <w:szCs w:val="20"/>
                <w:lang w:bidi="ar-IQ"/>
              </w:rPr>
            </w:pPr>
            <w:r w:rsidRPr="00B5216D">
              <w:rPr>
                <w:rFonts w:asciiTheme="majorBidi" w:hAnsiTheme="majorBidi" w:cstheme="majorBidi"/>
                <w:sz w:val="20"/>
                <w:szCs w:val="20"/>
                <w:vertAlign w:val="superscript"/>
                <w:lang w:bidi="ar-IQ"/>
              </w:rPr>
              <w:t>2</w:t>
            </w:r>
            <w:r w:rsidRPr="00B5216D">
              <w:rPr>
                <w:rFonts w:asciiTheme="majorBidi" w:hAnsiTheme="majorBidi" w:cstheme="majorBidi"/>
                <w:sz w:val="20"/>
                <w:szCs w:val="20"/>
                <w:lang w:bidi="ar-IQ"/>
              </w:rPr>
              <w:t xml:space="preserve"> College of Dentistry, Tikrit University, Tikrit, Iraq</w:t>
            </w:r>
          </w:p>
          <w:p w14:paraId="4737C73A" w14:textId="77777777" w:rsidR="00D54500" w:rsidRPr="002605F9" w:rsidRDefault="00D54500" w:rsidP="00D54500">
            <w:pPr>
              <w:jc w:val="both"/>
              <w:rPr>
                <w:rFonts w:asciiTheme="majorBidi" w:hAnsiTheme="majorBidi" w:cstheme="majorBidi"/>
                <w:sz w:val="20"/>
                <w:szCs w:val="20"/>
              </w:rPr>
            </w:pPr>
          </w:p>
          <w:p w14:paraId="6D662B70" w14:textId="3E3E7C73" w:rsidR="00743771" w:rsidRPr="007609C4" w:rsidRDefault="00D54500" w:rsidP="007609C4">
            <w:pPr>
              <w:jc w:val="both"/>
              <w:rPr>
                <w:b/>
                <w:sz w:val="36"/>
                <w:szCs w:val="36"/>
              </w:rPr>
            </w:pPr>
            <w:bookmarkStart w:id="0" w:name="_xbe7234u89sy" w:colFirst="0" w:colLast="0"/>
            <w:bookmarkEnd w:id="0"/>
            <w:r w:rsidRPr="002605F9">
              <w:rPr>
                <w:rFonts w:asciiTheme="majorBidi" w:hAnsiTheme="majorBidi" w:cstheme="majorBidi"/>
                <w:sz w:val="20"/>
                <w:szCs w:val="20"/>
              </w:rPr>
              <w:t xml:space="preserve">*Corresponding author: </w:t>
            </w:r>
            <w:hyperlink r:id="rId11" w:history="1">
              <w:r w:rsidR="00B5216D" w:rsidRPr="00131971">
                <w:rPr>
                  <w:rFonts w:asciiTheme="majorBidi" w:hAnsiTheme="majorBidi" w:cstheme="majorBidi"/>
                  <w:color w:val="0563C1"/>
                  <w:sz w:val="20"/>
                  <w:szCs w:val="20"/>
                  <w:u w:val="single"/>
                </w:rPr>
                <w:t>salimjasim@tu.edu.iq</w:t>
              </w:r>
            </w:hyperlink>
            <w:r>
              <w:rPr>
                <w:sz w:val="24"/>
              </w:rPr>
              <w:t xml:space="preserve"> </w:t>
            </w:r>
          </w:p>
        </w:tc>
      </w:tr>
      <w:tr w:rsidR="00011CD4" w:rsidRPr="00517AF3" w14:paraId="095AA044" w14:textId="7BBFE902" w:rsidTr="003D4CF9">
        <w:trPr>
          <w:trHeight w:val="135"/>
        </w:trPr>
        <w:tc>
          <w:tcPr>
            <w:tcW w:w="6140" w:type="dxa"/>
            <w:gridSpan w:val="2"/>
            <w:tcBorders>
              <w:top w:val="single" w:sz="12" w:space="0" w:color="auto"/>
              <w:left w:val="nil"/>
              <w:bottom w:val="nil"/>
              <w:right w:val="nil"/>
            </w:tcBorders>
          </w:tcPr>
          <w:p w14:paraId="55B12EBB" w14:textId="77777777" w:rsidR="00011CD4" w:rsidRDefault="00011CD4" w:rsidP="0035148D">
            <w:pPr>
              <w:jc w:val="both"/>
              <w:rPr>
                <w:lang w:bidi="ar-IQ"/>
              </w:rPr>
            </w:pPr>
          </w:p>
        </w:tc>
        <w:tc>
          <w:tcPr>
            <w:tcW w:w="4492" w:type="dxa"/>
            <w:tcBorders>
              <w:top w:val="single" w:sz="12" w:space="0" w:color="auto"/>
              <w:left w:val="nil"/>
              <w:bottom w:val="nil"/>
              <w:right w:val="nil"/>
            </w:tcBorders>
          </w:tcPr>
          <w:p w14:paraId="0C5AEB1D" w14:textId="77777777" w:rsidR="00011CD4" w:rsidRDefault="00011CD4" w:rsidP="0035148D">
            <w:pPr>
              <w:jc w:val="both"/>
              <w:rPr>
                <w:lang w:bidi="ar-IQ"/>
              </w:rPr>
            </w:pPr>
          </w:p>
        </w:tc>
      </w:tr>
      <w:tr w:rsidR="00011CD4" w:rsidRPr="00517AF3" w14:paraId="5922AF01" w14:textId="16FA74E7" w:rsidTr="003D4CF9">
        <w:trPr>
          <w:trHeight w:val="2127"/>
        </w:trPr>
        <w:tc>
          <w:tcPr>
            <w:tcW w:w="4326" w:type="dxa"/>
            <w:tcBorders>
              <w:top w:val="nil"/>
              <w:left w:val="nil"/>
              <w:bottom w:val="nil"/>
            </w:tcBorders>
          </w:tcPr>
          <w:p w14:paraId="3DA046F6" w14:textId="77777777" w:rsidR="003D4CF9" w:rsidRDefault="003D4CF9" w:rsidP="00031284">
            <w:pPr>
              <w:pStyle w:val="ABSTRACTBODY"/>
              <w:rPr>
                <w:b/>
                <w:bCs/>
                <w:i/>
                <w:iCs/>
                <w:color w:val="538135" w:themeColor="accent6" w:themeShade="BF"/>
                <w:szCs w:val="20"/>
                <w14:textFill>
                  <w14:solidFill>
                    <w14:schemeClr w14:val="accent6">
                      <w14:lumMod w14:val="75000"/>
                      <w14:lumMod w14:val="75000"/>
                    </w14:schemeClr>
                  </w14:solidFill>
                </w14:textFill>
              </w:rPr>
            </w:pPr>
          </w:p>
          <w:p w14:paraId="35708478" w14:textId="2FBB4058" w:rsidR="00B941F4" w:rsidRPr="00857368" w:rsidRDefault="00C94B06" w:rsidP="00031284">
            <w:pPr>
              <w:pStyle w:val="ABSTRACTBODY"/>
              <w:rPr>
                <w:b/>
                <w:bCs/>
                <w:i/>
                <w:iCs/>
                <w:color w:val="538135" w:themeColor="accent6" w:themeShade="BF"/>
                <w:szCs w:val="20"/>
                <w14:textFill>
                  <w14:solidFill>
                    <w14:schemeClr w14:val="accent6">
                      <w14:lumMod w14:val="75000"/>
                      <w14:lumMod w14:val="75000"/>
                    </w14:schemeClr>
                  </w14:solidFill>
                </w14:textFill>
              </w:rPr>
            </w:pPr>
            <w:r w:rsidRPr="00857368">
              <w:rPr>
                <w:b/>
                <w:bCs/>
                <w:i/>
                <w:iCs/>
                <w:color w:val="538135" w:themeColor="accent6" w:themeShade="BF"/>
                <w:szCs w:val="20"/>
                <w14:textFill>
                  <w14:solidFill>
                    <w14:schemeClr w14:val="accent6">
                      <w14:lumMod w14:val="75000"/>
                      <w14:lumMod w14:val="75000"/>
                    </w14:schemeClr>
                  </w14:solidFill>
                </w14:textFill>
              </w:rPr>
              <w:t>Article information</w:t>
            </w:r>
            <w:r w:rsidR="00B941F4" w:rsidRPr="00857368">
              <w:rPr>
                <w:b/>
                <w:bCs/>
                <w:i/>
                <w:iCs/>
                <w:color w:val="538135" w:themeColor="accent6" w:themeShade="BF"/>
                <w:szCs w:val="20"/>
                <w14:textFill>
                  <w14:solidFill>
                    <w14:schemeClr w14:val="accent6">
                      <w14:lumMod w14:val="75000"/>
                      <w14:lumMod w14:val="75000"/>
                    </w14:schemeClr>
                  </w14:solidFill>
                </w14:textFill>
              </w:rPr>
              <w:t>:</w:t>
            </w:r>
          </w:p>
          <w:p w14:paraId="3854D4BF" w14:textId="1AAA1799" w:rsidR="00B941F4" w:rsidRDefault="00B941F4" w:rsidP="00783997">
            <w:pPr>
              <w:pStyle w:val="Articalhistory"/>
              <w:rPr>
                <w:sz w:val="20"/>
              </w:rPr>
            </w:pPr>
            <w:r w:rsidRPr="00AD4970">
              <w:rPr>
                <w:sz w:val="20"/>
              </w:rPr>
              <w:t>R</w:t>
            </w:r>
            <w:r w:rsidR="004141E7" w:rsidRPr="00AD4970">
              <w:rPr>
                <w:sz w:val="20"/>
              </w:rPr>
              <w:t>eceived</w:t>
            </w:r>
            <w:r w:rsidR="000C0C42">
              <w:rPr>
                <w:sz w:val="20"/>
              </w:rPr>
              <w:t xml:space="preserve"> </w:t>
            </w:r>
            <w:r w:rsidR="003D4CF9">
              <w:rPr>
                <w:sz w:val="20"/>
              </w:rPr>
              <w:t xml:space="preserve">                         </w:t>
            </w:r>
            <w:r w:rsidR="000C0C42">
              <w:rPr>
                <w:sz w:val="20"/>
              </w:rPr>
              <w:t>02</w:t>
            </w:r>
            <w:r w:rsidR="000C0C42" w:rsidRPr="000C0C42">
              <w:rPr>
                <w:sz w:val="20"/>
              </w:rPr>
              <w:t xml:space="preserve"> </w:t>
            </w:r>
            <w:r w:rsidR="000C0C42">
              <w:rPr>
                <w:sz w:val="20"/>
              </w:rPr>
              <w:t>Jun</w:t>
            </w:r>
            <w:r w:rsidR="000C0C42" w:rsidRPr="000C0C42">
              <w:rPr>
                <w:sz w:val="20"/>
              </w:rPr>
              <w:t>, 2025</w:t>
            </w:r>
          </w:p>
          <w:p w14:paraId="13065E8B" w14:textId="428CA845" w:rsidR="00177BF7" w:rsidRPr="00AD4970" w:rsidRDefault="00177BF7" w:rsidP="00783997">
            <w:pPr>
              <w:pStyle w:val="Articalhistory"/>
              <w:rPr>
                <w:sz w:val="20"/>
              </w:rPr>
            </w:pPr>
            <w:r w:rsidRPr="00847E1A">
              <w:rPr>
                <w:sz w:val="20"/>
              </w:rPr>
              <w:t xml:space="preserve">Received in revised form </w:t>
            </w:r>
            <w:r>
              <w:rPr>
                <w:sz w:val="20"/>
              </w:rPr>
              <w:t>26 Jun, 2025</w:t>
            </w:r>
          </w:p>
          <w:p w14:paraId="28186D4C" w14:textId="2C5911C5" w:rsidR="00B941F4" w:rsidRDefault="00B941F4" w:rsidP="00783997">
            <w:pPr>
              <w:pStyle w:val="Articalhistory"/>
              <w:rPr>
                <w:sz w:val="20"/>
              </w:rPr>
            </w:pPr>
            <w:r w:rsidRPr="00AD4970">
              <w:rPr>
                <w:sz w:val="20"/>
              </w:rPr>
              <w:t>A</w:t>
            </w:r>
            <w:r w:rsidR="004141E7" w:rsidRPr="00AD4970">
              <w:rPr>
                <w:sz w:val="20"/>
              </w:rPr>
              <w:t>ccepted</w:t>
            </w:r>
            <w:r w:rsidR="000C0C42">
              <w:rPr>
                <w:sz w:val="20"/>
              </w:rPr>
              <w:t xml:space="preserve"> </w:t>
            </w:r>
            <w:r w:rsidR="003D4CF9">
              <w:rPr>
                <w:sz w:val="20"/>
              </w:rPr>
              <w:t xml:space="preserve">                          </w:t>
            </w:r>
            <w:r w:rsidR="000C0C42" w:rsidRPr="000C0C42">
              <w:rPr>
                <w:sz w:val="20"/>
              </w:rPr>
              <w:t>0</w:t>
            </w:r>
            <w:r w:rsidR="000C0C42">
              <w:rPr>
                <w:sz w:val="20"/>
              </w:rPr>
              <w:t>3</w:t>
            </w:r>
            <w:r w:rsidR="000C0C42" w:rsidRPr="000C0C42">
              <w:rPr>
                <w:sz w:val="20"/>
              </w:rPr>
              <w:t xml:space="preserve"> July</w:t>
            </w:r>
            <w:r w:rsidR="007C5EF6">
              <w:rPr>
                <w:sz w:val="20"/>
              </w:rPr>
              <w:t xml:space="preserve"> </w:t>
            </w:r>
            <w:r w:rsidR="000C0C42" w:rsidRPr="000C0C42">
              <w:rPr>
                <w:sz w:val="20"/>
              </w:rPr>
              <w:t>2025</w:t>
            </w:r>
          </w:p>
          <w:p w14:paraId="5FDCDF4E" w14:textId="4F738F0E" w:rsidR="00783997" w:rsidRDefault="00177BF7" w:rsidP="00783997">
            <w:pPr>
              <w:pStyle w:val="Articalhistory"/>
              <w:rPr>
                <w:sz w:val="20"/>
                <w:rtl/>
              </w:rPr>
            </w:pPr>
            <w:r w:rsidRPr="00847E1A">
              <w:rPr>
                <w:sz w:val="20"/>
              </w:rPr>
              <w:t xml:space="preserve">Final Proofreading </w:t>
            </w:r>
            <w:r w:rsidR="003D4CF9">
              <w:rPr>
                <w:sz w:val="20"/>
              </w:rPr>
              <w:t xml:space="preserve">          </w:t>
            </w:r>
            <w:r w:rsidRPr="00847E1A">
              <w:rPr>
                <w:sz w:val="20"/>
                <w:szCs w:val="20"/>
              </w:rPr>
              <w:t>2</w:t>
            </w:r>
            <w:r w:rsidRPr="00847E1A">
              <w:rPr>
                <w:rFonts w:hint="cs"/>
                <w:sz w:val="20"/>
                <w:szCs w:val="20"/>
                <w:rtl/>
              </w:rPr>
              <w:t>4</w:t>
            </w:r>
            <w:r w:rsidRPr="00847E1A">
              <w:rPr>
                <w:sz w:val="20"/>
              </w:rPr>
              <w:t xml:space="preserve"> </w:t>
            </w:r>
            <w:r w:rsidR="00605650">
              <w:rPr>
                <w:sz w:val="20"/>
              </w:rPr>
              <w:t>July</w:t>
            </w:r>
            <w:r w:rsidRPr="00847E1A">
              <w:rPr>
                <w:sz w:val="20"/>
              </w:rPr>
              <w:t xml:space="preserve"> 2025</w:t>
            </w:r>
          </w:p>
          <w:p w14:paraId="5C408A32" w14:textId="1F43F01E" w:rsidR="00031284" w:rsidRDefault="00B941F4" w:rsidP="00783997">
            <w:pPr>
              <w:pStyle w:val="Articalhistory"/>
              <w:rPr>
                <w:sz w:val="20"/>
                <w:rtl/>
              </w:rPr>
            </w:pPr>
            <w:r w:rsidRPr="00AD4970">
              <w:rPr>
                <w:sz w:val="20"/>
              </w:rPr>
              <w:t>P</w:t>
            </w:r>
            <w:r w:rsidR="004141E7" w:rsidRPr="00AD4970">
              <w:rPr>
                <w:sz w:val="20"/>
              </w:rPr>
              <w:t>ublished</w:t>
            </w:r>
            <w:r w:rsidR="00C94B06" w:rsidRPr="00AD4970">
              <w:rPr>
                <w:sz w:val="20"/>
              </w:rPr>
              <w:t xml:space="preserve"> </w:t>
            </w:r>
            <w:r w:rsidR="003D4CF9">
              <w:rPr>
                <w:sz w:val="20"/>
              </w:rPr>
              <w:t xml:space="preserve">                        </w:t>
            </w:r>
            <w:r w:rsidR="000C0C42" w:rsidRPr="000C0C42">
              <w:rPr>
                <w:sz w:val="20"/>
              </w:rPr>
              <w:t>30 July 2025</w:t>
            </w:r>
          </w:p>
          <w:p w14:paraId="4DF5CDDB" w14:textId="77777777" w:rsidR="00783997" w:rsidRDefault="00783997" w:rsidP="00783997">
            <w:pPr>
              <w:pStyle w:val="Articalhistory"/>
              <w:rPr>
                <w:sz w:val="20"/>
              </w:rPr>
            </w:pPr>
          </w:p>
          <w:p w14:paraId="4D299B8E" w14:textId="77777777" w:rsidR="003D4CF9" w:rsidRPr="00AD4970" w:rsidRDefault="003D4CF9" w:rsidP="00783997">
            <w:pPr>
              <w:pStyle w:val="Articalhistory"/>
              <w:rPr>
                <w:sz w:val="20"/>
              </w:rPr>
            </w:pPr>
          </w:p>
          <w:p w14:paraId="26359CC1" w14:textId="6A8AB892" w:rsidR="009325D7" w:rsidRPr="00857368" w:rsidRDefault="009325D7" w:rsidP="009325D7">
            <w:pPr>
              <w:pStyle w:val="ABSTRACTBODY"/>
              <w:rPr>
                <w:color w:val="538135" w:themeColor="accent6" w:themeShade="BF"/>
                <w14:textFill>
                  <w14:solidFill>
                    <w14:schemeClr w14:val="accent6">
                      <w14:lumMod w14:val="75000"/>
                      <w14:lumMod w14:val="75000"/>
                    </w14:schemeClr>
                  </w14:solidFill>
                </w14:textFill>
              </w:rPr>
            </w:pPr>
            <w:r w:rsidRPr="00857368">
              <w:rPr>
                <w:b/>
                <w:bCs/>
                <w:i/>
                <w:iCs/>
                <w:color w:val="538135" w:themeColor="accent6" w:themeShade="BF"/>
                <w14:textFill>
                  <w14:solidFill>
                    <w14:schemeClr w14:val="accent6">
                      <w14:lumMod w14:val="75000"/>
                      <w14:lumMod w14:val="75000"/>
                    </w14:schemeClr>
                  </w14:solidFill>
                </w14:textFill>
              </w:rPr>
              <w:t>DOI:</w:t>
            </w:r>
          </w:p>
          <w:p w14:paraId="458005B7" w14:textId="77777777" w:rsidR="0041627F" w:rsidRPr="0041627F" w:rsidRDefault="0041627F" w:rsidP="003D4CF9">
            <w:pPr>
              <w:pStyle w:val="ABSTRACTBODY"/>
              <w:rPr>
                <w:color w:val="0563C1"/>
                <w:szCs w:val="20"/>
                <w:u w:val="single"/>
                <w:lang w:bidi="ar-SA"/>
                <w14:textFill>
                  <w14:solidFill>
                    <w14:srgbClr w14:val="0563C1">
                      <w14:lumMod w14:val="75000"/>
                    </w14:srgbClr>
                  </w14:solidFill>
                </w14:textFill>
                <w14:cntxtAlts w14:val="0"/>
              </w:rPr>
            </w:pPr>
            <w:r>
              <w:rPr>
                <w:color w:val="0563C1"/>
                <w:szCs w:val="20"/>
                <w:u w:val="single"/>
                <w:lang w:bidi="ar-SA"/>
                <w14:textFill>
                  <w14:solidFill>
                    <w14:srgbClr w14:val="0563C1">
                      <w14:lumMod w14:val="75000"/>
                    </w14:srgbClr>
                  </w14:solidFill>
                </w14:textFill>
                <w14:cntxtAlts w14:val="0"/>
              </w:rPr>
              <w:fldChar w:fldCharType="begin"/>
            </w:r>
            <w:r>
              <w:rPr>
                <w:color w:val="0563C1"/>
                <w:szCs w:val="20"/>
                <w:u w:val="single"/>
                <w:lang w:bidi="ar-SA"/>
                <w14:textFill>
                  <w14:solidFill>
                    <w14:srgbClr w14:val="0563C1">
                      <w14:lumMod w14:val="75000"/>
                    </w14:srgbClr>
                  </w14:solidFill>
                </w14:textFill>
                <w14:cntxtAlts w14:val="0"/>
              </w:rPr>
              <w:instrText xml:space="preserve"> HYPERLINK "</w:instrText>
            </w:r>
            <w:r w:rsidRPr="0041627F">
              <w:rPr>
                <w:color w:val="0563C1"/>
                <w:szCs w:val="20"/>
                <w:u w:val="single"/>
                <w:lang w:bidi="ar-SA"/>
                <w14:textFill>
                  <w14:solidFill>
                    <w14:srgbClr w14:val="0563C1">
                      <w14:lumMod w14:val="75000"/>
                    </w14:srgbClr>
                  </w14:solidFill>
                </w14:textFill>
                <w14:cntxtAlts w14:val="0"/>
              </w:rPr>
              <w:instrText>http://doi.org/</w:instrText>
            </w:r>
            <w:r w:rsidRPr="0041627F">
              <w:rPr>
                <w:color w:val="0563C1"/>
                <w:u w:val="single"/>
                <w14:textFill>
                  <w14:solidFill>
                    <w14:srgbClr w14:val="0563C1">
                      <w14:lumMod w14:val="75000"/>
                    </w14:srgbClr>
                  </w14:solidFill>
                </w14:textFill>
              </w:rPr>
              <w:instrText>10.64554/nujms.2025.1.1.5</w:instrText>
            </w:r>
          </w:p>
          <w:p w14:paraId="5B681B24" w14:textId="77777777" w:rsidR="0041627F" w:rsidRPr="00FA56A6" w:rsidRDefault="0041627F" w:rsidP="003D4CF9">
            <w:pPr>
              <w:pStyle w:val="ABSTRACTBODY"/>
              <w:rPr>
                <w:rStyle w:val="Hyperlink"/>
                <w:color w:val="034990" w:themeColor="hyperlink" w:themeShade="BF"/>
                <w:szCs w:val="20"/>
                <w:lang w:bidi="ar-SA"/>
                <w14:textFill>
                  <w14:solidFill>
                    <w14:schemeClr w14:val="hlink">
                      <w14:lumMod w14:val="75000"/>
                      <w14:lumMod w14:val="75000"/>
                    </w14:schemeClr>
                  </w14:solidFill>
                </w14:textFill>
                <w14:cntxtAlts w14:val="0"/>
              </w:rPr>
            </w:pPr>
            <w:r>
              <w:rPr>
                <w:color w:val="0563C1"/>
                <w:szCs w:val="20"/>
                <w:u w:val="single"/>
                <w:lang w:bidi="ar-SA"/>
                <w14:textFill>
                  <w14:solidFill>
                    <w14:srgbClr w14:val="0563C1">
                      <w14:lumMod w14:val="75000"/>
                    </w14:srgbClr>
                  </w14:solidFill>
                </w14:textFill>
                <w14:cntxtAlts w14:val="0"/>
              </w:rPr>
              <w:instrText xml:space="preserve">" </w:instrText>
            </w:r>
            <w:r>
              <w:rPr>
                <w:color w:val="0563C1"/>
                <w:szCs w:val="20"/>
                <w:u w:val="single"/>
                <w:lang w:bidi="ar-SA"/>
                <w14:textFill>
                  <w14:solidFill>
                    <w14:srgbClr w14:val="0563C1">
                      <w14:lumMod w14:val="75000"/>
                    </w14:srgbClr>
                  </w14:solidFill>
                </w14:textFill>
                <w14:cntxtAlts w14:val="0"/>
              </w:rPr>
            </w:r>
            <w:r>
              <w:rPr>
                <w:color w:val="0563C1"/>
                <w:szCs w:val="20"/>
                <w:u w:val="single"/>
                <w:lang w:bidi="ar-SA"/>
                <w14:textFill>
                  <w14:solidFill>
                    <w14:srgbClr w14:val="0563C1">
                      <w14:lumMod w14:val="75000"/>
                    </w14:srgbClr>
                  </w14:solidFill>
                </w14:textFill>
                <w14:cntxtAlts w14:val="0"/>
              </w:rPr>
              <w:fldChar w:fldCharType="separate"/>
            </w:r>
            <w:r w:rsidRPr="00FA56A6">
              <w:rPr>
                <w:rStyle w:val="Hyperlink"/>
                <w:color w:val="034990" w:themeColor="hyperlink" w:themeShade="BF"/>
                <w:szCs w:val="20"/>
                <w:lang w:bidi="ar-SA"/>
                <w14:textFill>
                  <w14:solidFill>
                    <w14:schemeClr w14:val="hlink">
                      <w14:lumMod w14:val="75000"/>
                      <w14:lumMod w14:val="75000"/>
                    </w14:schemeClr>
                  </w14:solidFill>
                </w14:textFill>
                <w14:cntxtAlts w14:val="0"/>
              </w:rPr>
              <w:t>http://doi.org/</w:t>
            </w:r>
            <w:r w:rsidRPr="00FA56A6">
              <w:rPr>
                <w:rStyle w:val="Hyperlink"/>
                <w:color w:val="034990" w:themeColor="hyperlink" w:themeShade="BF"/>
                <w14:textFill>
                  <w14:solidFill>
                    <w14:schemeClr w14:val="hlink">
                      <w14:lumMod w14:val="75000"/>
                      <w14:lumMod w14:val="75000"/>
                    </w14:schemeClr>
                  </w14:solidFill>
                </w14:textFill>
              </w:rPr>
              <w:t>10.64554/nujms.2025.1.1.5</w:t>
            </w:r>
          </w:p>
          <w:p w14:paraId="7B62E1AB" w14:textId="43E60FDE" w:rsidR="003D4CF9" w:rsidRPr="00AD4970" w:rsidRDefault="0041627F" w:rsidP="00031284">
            <w:pPr>
              <w:pStyle w:val="ABSTRACTBODY"/>
              <w:rPr>
                <w:sz w:val="16"/>
                <w:szCs w:val="16"/>
              </w:rPr>
            </w:pPr>
            <w:r>
              <w:rPr>
                <w:color w:val="0563C1"/>
                <w:szCs w:val="20"/>
                <w:u w:val="single"/>
                <w:lang w:bidi="ar-SA"/>
                <w14:textFill>
                  <w14:solidFill>
                    <w14:srgbClr w14:val="0563C1">
                      <w14:lumMod w14:val="75000"/>
                    </w14:srgbClr>
                  </w14:solidFill>
                </w14:textFill>
                <w14:cntxtAlts w14:val="0"/>
              </w:rPr>
              <w:fldChar w:fldCharType="end"/>
            </w:r>
          </w:p>
          <w:p w14:paraId="7C7A3A0E" w14:textId="781235C6" w:rsidR="00031284" w:rsidRPr="00857368" w:rsidRDefault="00E059BF" w:rsidP="00031284">
            <w:pPr>
              <w:pStyle w:val="Articalhistory"/>
              <w:spacing w:line="360" w:lineRule="auto"/>
              <w:rPr>
                <w:b/>
                <w:bCs/>
                <w:i/>
                <w:iCs/>
                <w:color w:val="538135" w:themeColor="accent6" w:themeShade="BF"/>
                <w:sz w:val="20"/>
                <w14:textFill>
                  <w14:solidFill>
                    <w14:schemeClr w14:val="accent6">
                      <w14:lumMod w14:val="75000"/>
                      <w14:lumMod w14:val="75000"/>
                    </w14:schemeClr>
                  </w14:solidFill>
                </w14:textFill>
              </w:rPr>
            </w:pPr>
            <w:r w:rsidRPr="00857368">
              <w:rPr>
                <w:b/>
                <w:bCs/>
                <w:i/>
                <w:iCs/>
                <w:color w:val="538135" w:themeColor="accent6" w:themeShade="BF"/>
                <w:sz w:val="20"/>
                <w14:textFill>
                  <w14:solidFill>
                    <w14:schemeClr w14:val="accent6">
                      <w14:lumMod w14:val="75000"/>
                      <w14:lumMod w14:val="75000"/>
                    </w14:schemeClr>
                  </w14:solidFill>
                </w14:textFill>
              </w:rPr>
              <w:t xml:space="preserve">Keywords: </w:t>
            </w:r>
          </w:p>
          <w:p w14:paraId="17E641C3" w14:textId="0C5F752F" w:rsidR="00C94B06" w:rsidRDefault="00E059BF" w:rsidP="00783997">
            <w:pPr>
              <w:pStyle w:val="Articalhistory"/>
              <w:ind w:right="458"/>
              <w:jc w:val="left"/>
              <w:rPr>
                <w:sz w:val="20"/>
              </w:rPr>
            </w:pPr>
            <w:r w:rsidRPr="00AD4970">
              <w:rPr>
                <w:sz w:val="20"/>
              </w:rPr>
              <w:t>Follicle-</w:t>
            </w:r>
            <w:r w:rsidR="00C2240F" w:rsidRPr="00AD4970">
              <w:rPr>
                <w:sz w:val="20"/>
              </w:rPr>
              <w:t>S</w:t>
            </w:r>
            <w:r w:rsidRPr="00AD4970">
              <w:rPr>
                <w:sz w:val="20"/>
              </w:rPr>
              <w:t>timulating</w:t>
            </w:r>
            <w:r w:rsidR="00345372">
              <w:rPr>
                <w:rFonts w:hint="cs"/>
                <w:sz w:val="20"/>
                <w:rtl/>
              </w:rPr>
              <w:t xml:space="preserve"> </w:t>
            </w:r>
            <w:r w:rsidR="00C2240F" w:rsidRPr="00AD4970">
              <w:rPr>
                <w:sz w:val="20"/>
              </w:rPr>
              <w:t>H</w:t>
            </w:r>
            <w:r w:rsidRPr="00AD4970">
              <w:rPr>
                <w:sz w:val="20"/>
              </w:rPr>
              <w:t>ormone</w:t>
            </w:r>
            <w:r w:rsidR="00942BA7" w:rsidRPr="00AD4970">
              <w:rPr>
                <w:sz w:val="20"/>
              </w:rPr>
              <w:t>;</w:t>
            </w:r>
            <w:r w:rsidR="00031284">
              <w:rPr>
                <w:sz w:val="20"/>
              </w:rPr>
              <w:t xml:space="preserve"> </w:t>
            </w:r>
            <w:r w:rsidRPr="00AD4970">
              <w:rPr>
                <w:sz w:val="20"/>
              </w:rPr>
              <w:t>Glypican</w:t>
            </w:r>
            <w:r w:rsidR="00345372">
              <w:rPr>
                <w:rFonts w:hint="cs"/>
                <w:sz w:val="20"/>
                <w:rtl/>
              </w:rPr>
              <w:t xml:space="preserve"> </w:t>
            </w:r>
            <w:r w:rsidRPr="00AD4970">
              <w:rPr>
                <w:sz w:val="20"/>
              </w:rPr>
              <w:t>4</w:t>
            </w:r>
            <w:r w:rsidR="00942BA7" w:rsidRPr="00AD4970">
              <w:rPr>
                <w:sz w:val="20"/>
              </w:rPr>
              <w:t>;</w:t>
            </w:r>
            <w:r w:rsidR="00345372">
              <w:rPr>
                <w:sz w:val="20"/>
              </w:rPr>
              <w:t xml:space="preserve"> </w:t>
            </w:r>
            <w:proofErr w:type="gramStart"/>
            <w:r w:rsidRPr="00AD4970">
              <w:rPr>
                <w:sz w:val="20"/>
              </w:rPr>
              <w:t>Luteinizing</w:t>
            </w:r>
            <w:r w:rsidR="003D4CF9">
              <w:rPr>
                <w:sz w:val="20"/>
              </w:rPr>
              <w:t xml:space="preserve"> </w:t>
            </w:r>
            <w:r w:rsidRPr="00AD4970">
              <w:rPr>
                <w:sz w:val="20"/>
              </w:rPr>
              <w:t xml:space="preserve"> </w:t>
            </w:r>
            <w:r w:rsidR="00C2240F" w:rsidRPr="00AD4970">
              <w:rPr>
                <w:sz w:val="20"/>
              </w:rPr>
              <w:t>H</w:t>
            </w:r>
            <w:r w:rsidRPr="00AD4970">
              <w:rPr>
                <w:sz w:val="20"/>
              </w:rPr>
              <w:t>ormone</w:t>
            </w:r>
            <w:r w:rsidR="00942BA7" w:rsidRPr="00AD4970">
              <w:rPr>
                <w:sz w:val="20"/>
              </w:rPr>
              <w:t>;</w:t>
            </w:r>
            <w:r w:rsidRPr="00AD4970">
              <w:rPr>
                <w:sz w:val="20"/>
              </w:rPr>
              <w:t xml:space="preserve"> </w:t>
            </w:r>
            <w:r w:rsidR="003D4CF9">
              <w:rPr>
                <w:sz w:val="20"/>
              </w:rPr>
              <w:t xml:space="preserve"> </w:t>
            </w:r>
            <w:r w:rsidR="00C2240F" w:rsidRPr="00AD4970">
              <w:rPr>
                <w:sz w:val="20"/>
              </w:rPr>
              <w:t>Polycystic</w:t>
            </w:r>
            <w:proofErr w:type="gramEnd"/>
            <w:r w:rsidR="000C0C42">
              <w:rPr>
                <w:rFonts w:hint="cs"/>
                <w:sz w:val="20"/>
                <w:rtl/>
              </w:rPr>
              <w:t xml:space="preserve"> </w:t>
            </w:r>
            <w:r w:rsidR="00C2240F" w:rsidRPr="00AD4970">
              <w:rPr>
                <w:sz w:val="20"/>
              </w:rPr>
              <w:t xml:space="preserve">Ovarian </w:t>
            </w:r>
            <w:proofErr w:type="gramStart"/>
            <w:r w:rsidR="0021542B" w:rsidRPr="00AD4970">
              <w:rPr>
                <w:sz w:val="20"/>
              </w:rPr>
              <w:t>Syndrome;</w:t>
            </w:r>
            <w:r w:rsidR="003D4CF9">
              <w:rPr>
                <w:sz w:val="20"/>
              </w:rPr>
              <w:t xml:space="preserve"> </w:t>
            </w:r>
            <w:r w:rsidRPr="00AD4970">
              <w:rPr>
                <w:sz w:val="20"/>
              </w:rPr>
              <w:t xml:space="preserve"> Prolactin</w:t>
            </w:r>
            <w:proofErr w:type="gramEnd"/>
            <w:r w:rsidRPr="00AD4970">
              <w:rPr>
                <w:sz w:val="20"/>
              </w:rPr>
              <w:t>.</w:t>
            </w:r>
          </w:p>
          <w:p w14:paraId="03D81D79" w14:textId="77777777" w:rsidR="003D4CF9" w:rsidRDefault="003D4CF9" w:rsidP="00783997">
            <w:pPr>
              <w:pStyle w:val="Articalhistory"/>
              <w:ind w:right="458"/>
              <w:jc w:val="left"/>
              <w:rPr>
                <w:sz w:val="20"/>
              </w:rPr>
            </w:pPr>
          </w:p>
          <w:p w14:paraId="71B63892" w14:textId="77777777" w:rsidR="003D4CF9" w:rsidRDefault="003D4CF9" w:rsidP="005245AC">
            <w:pPr>
              <w:pStyle w:val="Articalhistory"/>
              <w:ind w:right="458"/>
              <w:jc w:val="left"/>
              <w:rPr>
                <w:sz w:val="20"/>
              </w:rPr>
            </w:pPr>
          </w:p>
          <w:p w14:paraId="30FDFF35" w14:textId="77777777" w:rsidR="003D4CF9" w:rsidRPr="005515C5" w:rsidRDefault="003D4CF9" w:rsidP="005245AC">
            <w:pPr>
              <w:pStyle w:val="Articalhistory"/>
              <w:jc w:val="left"/>
              <w:rPr>
                <w:b/>
                <w:bCs/>
                <w:sz w:val="16"/>
                <w:szCs w:val="16"/>
              </w:rPr>
            </w:pPr>
            <w:r w:rsidRPr="005515C5">
              <w:rPr>
                <w:b/>
                <w:bCs/>
                <w:color w:val="538135" w:themeColor="accent6" w:themeShade="BF"/>
                <w:sz w:val="16"/>
                <w:szCs w:val="16"/>
                <w:lang w:bidi="ar-SA"/>
                <w14:textFill>
                  <w14:solidFill>
                    <w14:schemeClr w14:val="accent6">
                      <w14:lumMod w14:val="75000"/>
                      <w14:lumMod w14:val="75000"/>
                    </w14:schemeClr>
                  </w14:solidFill>
                </w14:textFill>
              </w:rPr>
              <w:t>© THIS IS AN OPEN ACCESS ARTICLE UNDER THE CC BY LICENSE.</w:t>
            </w:r>
            <w:r w:rsidRPr="005515C5">
              <w:rPr>
                <w:b/>
                <w:bCs/>
                <w:color w:val="538135" w:themeColor="accent6" w:themeShade="BF"/>
                <w:sz w:val="16"/>
                <w:szCs w:val="16"/>
                <w14:textFill>
                  <w14:solidFill>
                    <w14:schemeClr w14:val="accent6">
                      <w14:lumMod w14:val="75000"/>
                      <w14:lumMod w14:val="75000"/>
                    </w14:schemeClr>
                  </w14:solidFill>
                </w14:textFill>
              </w:rPr>
              <w:t xml:space="preserve"> </w:t>
            </w:r>
            <w:hyperlink r:id="rId12" w:history="1">
              <w:r w:rsidRPr="005515C5">
                <w:rPr>
                  <w:rStyle w:val="Hyperlink"/>
                  <w:b/>
                  <w:bCs/>
                  <w:color w:val="034990" w:themeColor="hyperlink" w:themeShade="BF"/>
                  <w:sz w:val="16"/>
                  <w:szCs w:val="16"/>
                </w:rPr>
                <w:t>http://creativecommons.org/licenses/by/4.0/</w:t>
              </w:r>
            </w:hyperlink>
          </w:p>
          <w:p w14:paraId="7577A81A" w14:textId="3E105E01" w:rsidR="003727BE" w:rsidRPr="003727BE" w:rsidRDefault="003727BE" w:rsidP="003727BE">
            <w:pPr>
              <w:rPr>
                <w:rtl/>
                <w:lang w:bidi="ar-IQ"/>
              </w:rPr>
            </w:pPr>
          </w:p>
        </w:tc>
        <w:tc>
          <w:tcPr>
            <w:tcW w:w="6306" w:type="dxa"/>
            <w:gridSpan w:val="2"/>
            <w:tcBorders>
              <w:top w:val="nil"/>
              <w:bottom w:val="nil"/>
              <w:right w:val="nil"/>
            </w:tcBorders>
          </w:tcPr>
          <w:p w14:paraId="2CD9D820" w14:textId="72600C79" w:rsidR="00A10FD3" w:rsidRPr="00AD4970" w:rsidRDefault="00F81D62" w:rsidP="004917A0">
            <w:pPr>
              <w:pStyle w:val="NoSpacing"/>
              <w:jc w:val="both"/>
              <w:rPr>
                <w:b/>
                <w:bCs/>
              </w:rPr>
            </w:pPr>
            <w:r w:rsidRPr="00AD4970">
              <w:t xml:space="preserve">        </w:t>
            </w:r>
            <w:r w:rsidR="003032EE" w:rsidRPr="00AD4970">
              <w:rPr>
                <w:b/>
                <w:bCs/>
              </w:rPr>
              <w:t>ABSTRACT</w:t>
            </w:r>
          </w:p>
          <w:p w14:paraId="32E7C849" w14:textId="64073C2E" w:rsidR="00B5216D" w:rsidRPr="003D4CF9" w:rsidRDefault="00B5216D" w:rsidP="004917A0">
            <w:pPr>
              <w:pStyle w:val="Articalhistory"/>
              <w:rPr>
                <w:sz w:val="20"/>
                <w:szCs w:val="40"/>
              </w:rPr>
            </w:pPr>
            <w:r w:rsidRPr="003D4CF9">
              <w:rPr>
                <w:b/>
                <w:bCs/>
                <w:sz w:val="20"/>
                <w:szCs w:val="40"/>
              </w:rPr>
              <w:t xml:space="preserve">Background: </w:t>
            </w:r>
            <w:r w:rsidRPr="003D4CF9">
              <w:rPr>
                <w:sz w:val="20"/>
                <w:szCs w:val="40"/>
              </w:rPr>
              <w:t>Polycystic ovarian syndrome (PCOS) is commonly linked to insulin</w:t>
            </w:r>
            <w:r w:rsidR="004917A0" w:rsidRPr="003D4CF9">
              <w:rPr>
                <w:sz w:val="20"/>
                <w:szCs w:val="40"/>
              </w:rPr>
              <w:t xml:space="preserve"> </w:t>
            </w:r>
            <w:r w:rsidRPr="003D4CF9">
              <w:rPr>
                <w:sz w:val="20"/>
                <w:szCs w:val="40"/>
              </w:rPr>
              <w:t>resistance and metabolic disturbances. Early diagnosis improves outcomes.</w:t>
            </w:r>
          </w:p>
          <w:p w14:paraId="00FB7582" w14:textId="77777777" w:rsidR="00B5216D" w:rsidRPr="003D4CF9" w:rsidRDefault="00B5216D" w:rsidP="004917A0">
            <w:pPr>
              <w:pStyle w:val="Articalhistory"/>
              <w:rPr>
                <w:b/>
                <w:bCs/>
                <w:sz w:val="20"/>
                <w:szCs w:val="40"/>
              </w:rPr>
            </w:pPr>
            <w:r w:rsidRPr="003D4CF9">
              <w:rPr>
                <w:b/>
                <w:bCs/>
                <w:sz w:val="20"/>
                <w:szCs w:val="40"/>
              </w:rPr>
              <w:t>Objectives</w:t>
            </w:r>
            <w:r w:rsidRPr="003D4CF9">
              <w:rPr>
                <w:sz w:val="20"/>
                <w:szCs w:val="40"/>
              </w:rPr>
              <w:t>: This study examined the relationship between serum glypican-4 (GPC4) levels and sex hormones in women with PCOS.</w:t>
            </w:r>
          </w:p>
          <w:p w14:paraId="74E0A284" w14:textId="176C2166" w:rsidR="00B5216D" w:rsidRPr="003D4CF9" w:rsidRDefault="00180444" w:rsidP="004917A0">
            <w:pPr>
              <w:pStyle w:val="Articalhistory"/>
              <w:rPr>
                <w:sz w:val="20"/>
                <w:szCs w:val="40"/>
              </w:rPr>
            </w:pPr>
            <w:r w:rsidRPr="003D4CF9">
              <w:rPr>
                <w:b/>
                <w:bCs/>
                <w:sz w:val="20"/>
                <w:szCs w:val="40"/>
                <w:lang w:val="en-US"/>
              </w:rPr>
              <w:t>M</w:t>
            </w:r>
            <w:proofErr w:type="spellStart"/>
            <w:r w:rsidR="00B5216D" w:rsidRPr="003D4CF9">
              <w:rPr>
                <w:b/>
                <w:bCs/>
                <w:sz w:val="20"/>
                <w:szCs w:val="40"/>
              </w:rPr>
              <w:t>ethods</w:t>
            </w:r>
            <w:proofErr w:type="spellEnd"/>
            <w:r w:rsidR="00B5216D" w:rsidRPr="003D4CF9">
              <w:rPr>
                <w:b/>
                <w:bCs/>
                <w:sz w:val="20"/>
                <w:szCs w:val="40"/>
              </w:rPr>
              <w:t>:</w:t>
            </w:r>
            <w:r w:rsidR="00B5216D" w:rsidRPr="003D4CF9">
              <w:rPr>
                <w:sz w:val="20"/>
                <w:szCs w:val="40"/>
              </w:rPr>
              <w:t xml:space="preserve"> In this case</w:t>
            </w:r>
            <w:r w:rsidR="00FF1236">
              <w:rPr>
                <w:sz w:val="20"/>
                <w:szCs w:val="40"/>
              </w:rPr>
              <w:t>-</w:t>
            </w:r>
            <w:r w:rsidR="00B5216D" w:rsidRPr="003D4CF9">
              <w:rPr>
                <w:sz w:val="20"/>
                <w:szCs w:val="40"/>
              </w:rPr>
              <w:t>control study, 40 healthy women who were age-matched to the PCOS patients were selected as the control group, while 100 women with PCOS between the ages of 15 and 45 took part. The study was carried out through a survey conducted in</w:t>
            </w:r>
            <w:r w:rsidR="004917A0" w:rsidRPr="003D4CF9">
              <w:rPr>
                <w:sz w:val="20"/>
                <w:szCs w:val="40"/>
              </w:rPr>
              <w:t xml:space="preserve"> </w:t>
            </w:r>
            <w:r w:rsidR="00B5216D" w:rsidRPr="003D4CF9">
              <w:rPr>
                <w:sz w:val="20"/>
                <w:szCs w:val="40"/>
              </w:rPr>
              <w:t>the outpatient department of Kirkuk General Hospital from September to December 2024.</w:t>
            </w:r>
            <w:r w:rsidR="00FF1236">
              <w:rPr>
                <w:sz w:val="20"/>
                <w:szCs w:val="40"/>
              </w:rPr>
              <w:t xml:space="preserve"> </w:t>
            </w:r>
            <w:r w:rsidR="00B5216D" w:rsidRPr="003D4CF9">
              <w:rPr>
                <w:sz w:val="20"/>
                <w:szCs w:val="40"/>
              </w:rPr>
              <w:t>The Rotterdam criteria are used to diagnose PCO in patients. Before and after therapy, the body mass index is calculated. Using an ELISA kit and the Enzyme-Linked Immunosorbent Assay technique, the amount of glycocan-4 in human serum was determined. Serum levels of the sex hormones follicle</w:t>
            </w:r>
            <w:r w:rsidR="00FF1236">
              <w:rPr>
                <w:sz w:val="20"/>
                <w:szCs w:val="40"/>
              </w:rPr>
              <w:t>-</w:t>
            </w:r>
            <w:r w:rsidR="00B5216D" w:rsidRPr="003D4CF9">
              <w:rPr>
                <w:sz w:val="20"/>
                <w:szCs w:val="40"/>
              </w:rPr>
              <w:t xml:space="preserve">stimulating hormone (FSH), luteinizing hormone (LH), and prolactin (PRL) were measured using an automated biochemical </w:t>
            </w:r>
            <w:proofErr w:type="spellStart"/>
            <w:r w:rsidR="00B5216D" w:rsidRPr="003D4CF9">
              <w:rPr>
                <w:sz w:val="20"/>
                <w:szCs w:val="40"/>
              </w:rPr>
              <w:t>analyzer</w:t>
            </w:r>
            <w:proofErr w:type="spellEnd"/>
            <w:r w:rsidR="00B5216D" w:rsidRPr="003D4CF9">
              <w:rPr>
                <w:sz w:val="20"/>
                <w:szCs w:val="40"/>
              </w:rPr>
              <w:t xml:space="preserve">. </w:t>
            </w:r>
          </w:p>
          <w:p w14:paraId="4A3AD198" w14:textId="2A4A0A64" w:rsidR="00B5216D" w:rsidRPr="003D4CF9" w:rsidRDefault="00B5216D" w:rsidP="004917A0">
            <w:pPr>
              <w:pStyle w:val="Articalhistory"/>
              <w:rPr>
                <w:b/>
                <w:bCs/>
                <w:sz w:val="20"/>
                <w:szCs w:val="40"/>
                <w:shd w:val="clear" w:color="auto" w:fill="FFFFFF"/>
              </w:rPr>
            </w:pPr>
            <w:r w:rsidRPr="003D4CF9">
              <w:rPr>
                <w:b/>
                <w:bCs/>
                <w:sz w:val="20"/>
                <w:szCs w:val="40"/>
                <w:shd w:val="clear" w:color="auto" w:fill="FFFFFF"/>
              </w:rPr>
              <w:t>Results</w:t>
            </w:r>
            <w:r w:rsidR="004917A0" w:rsidRPr="003D4CF9">
              <w:rPr>
                <w:b/>
                <w:bCs/>
                <w:sz w:val="20"/>
                <w:szCs w:val="40"/>
                <w:shd w:val="clear" w:color="auto" w:fill="FFFFFF"/>
              </w:rPr>
              <w:t xml:space="preserve">: </w:t>
            </w:r>
            <w:r w:rsidRPr="003D4CF9">
              <w:rPr>
                <w:sz w:val="20"/>
                <w:szCs w:val="40"/>
              </w:rPr>
              <w:t>The PCOS group human Glypican-4 levels and serum levels of sex hormones (LH, FSH</w:t>
            </w:r>
            <w:r w:rsidR="00FF1236">
              <w:rPr>
                <w:sz w:val="20"/>
                <w:szCs w:val="40"/>
              </w:rPr>
              <w:t>,</w:t>
            </w:r>
            <w:r w:rsidRPr="003D4CF9">
              <w:rPr>
                <w:sz w:val="20"/>
                <w:szCs w:val="40"/>
              </w:rPr>
              <w:t xml:space="preserve"> and PRL) were significantly (p&lt;0.01) greater than the control group.</w:t>
            </w:r>
          </w:p>
          <w:p w14:paraId="4D878763" w14:textId="77777777" w:rsidR="00B5216D" w:rsidRPr="003D4CF9" w:rsidRDefault="00B5216D" w:rsidP="004917A0">
            <w:pPr>
              <w:pStyle w:val="Articalhistory"/>
              <w:rPr>
                <w:sz w:val="20"/>
                <w:szCs w:val="40"/>
                <w:shd w:val="clear" w:color="auto" w:fill="FFFFFF"/>
                <w:rtl/>
              </w:rPr>
            </w:pPr>
            <w:r w:rsidRPr="003D4CF9">
              <w:rPr>
                <w:b/>
                <w:bCs/>
                <w:sz w:val="20"/>
                <w:szCs w:val="40"/>
                <w:shd w:val="clear" w:color="auto" w:fill="FFFFFF"/>
              </w:rPr>
              <w:t>Conclusion:</w:t>
            </w:r>
            <w:r w:rsidRPr="003D4CF9">
              <w:rPr>
                <w:sz w:val="20"/>
                <w:szCs w:val="40"/>
                <w:shd w:val="clear" w:color="auto" w:fill="FFFFFF"/>
              </w:rPr>
              <w:t xml:space="preserve"> </w:t>
            </w:r>
            <w:r w:rsidRPr="003D4CF9">
              <w:rPr>
                <w:sz w:val="20"/>
                <w:szCs w:val="40"/>
              </w:rPr>
              <w:t>Serum glypican-4 levels were significantly elevated in women with PCOS compared to the control group.</w:t>
            </w:r>
          </w:p>
          <w:p w14:paraId="216392B1" w14:textId="6361D2A1" w:rsidR="003727BE" w:rsidRPr="00AD4970" w:rsidRDefault="003727BE" w:rsidP="004917A0">
            <w:pPr>
              <w:pStyle w:val="Articalhistory"/>
              <w:rPr>
                <w:rFonts w:eastAsia="Times New Roman"/>
                <w:i/>
                <w:iCs/>
              </w:rPr>
            </w:pPr>
          </w:p>
        </w:tc>
      </w:tr>
    </w:tbl>
    <w:p w14:paraId="5DFE478E" w14:textId="20CD8A3F" w:rsidR="00D05CD7" w:rsidRDefault="00F75110" w:rsidP="000C0C42">
      <w:pPr>
        <w:pStyle w:val="NoSpacing"/>
        <w:pBdr>
          <w:top w:val="single" w:sz="12" w:space="31" w:color="auto"/>
        </w:pBdr>
        <w:rPr>
          <w:b/>
          <w:bCs/>
          <w:lang w:bidi="ar-IQ"/>
        </w:rPr>
      </w:pPr>
      <w:r w:rsidRPr="00F75110">
        <w:rPr>
          <w:b/>
          <w:bCs/>
          <w:lang w:bidi="ar-IQ"/>
        </w:rPr>
        <w:t>Introduction</w:t>
      </w:r>
    </w:p>
    <w:p w14:paraId="410B0FE2" w14:textId="677DF20D" w:rsidR="004917A0" w:rsidRPr="004457AB" w:rsidRDefault="004917A0" w:rsidP="000C4B86">
      <w:pPr>
        <w:pStyle w:val="Articalhistory"/>
        <w:ind w:firstLine="720"/>
      </w:pPr>
      <w:r w:rsidRPr="004457AB">
        <w:t>The Glypican 4 (GPC4) gene encodes the human protein called gl</w:t>
      </w:r>
      <w:r w:rsidR="00FF1236">
        <w:t>y</w:t>
      </w:r>
      <w:r w:rsidRPr="004457AB">
        <w:t xml:space="preserve">pican-4. A variable number of heparan </w:t>
      </w:r>
      <w:proofErr w:type="spellStart"/>
      <w:r w:rsidRPr="004457AB">
        <w:t>sulfate</w:t>
      </w:r>
      <w:proofErr w:type="spellEnd"/>
      <w:r w:rsidRPr="004457AB">
        <w:t xml:space="preserve"> chains have been added to a membrane-associated protein core to form cell surface heparan </w:t>
      </w:r>
      <w:proofErr w:type="spellStart"/>
      <w:r w:rsidRPr="004457AB">
        <w:t>sulfate</w:t>
      </w:r>
      <w:proofErr w:type="spellEnd"/>
      <w:r w:rsidRPr="004457AB">
        <w:t xml:space="preserve"> proteoglycans. A glycosyl phosphatidylinositol bond connects the core protein of members of the glypican-related integral membrane proteoglycan family (GRIPS) to the cytoplasmic membrane. These proteins might be involved in regulating the division and proliferation of cells. Situated next to the 3' end of GPC3, the GPC4 gene is another possible cause of Simpson-Golabi-</w:t>
      </w:r>
      <w:proofErr w:type="spellStart"/>
      <w:r w:rsidRPr="004457AB">
        <w:t>Behmel</w:t>
      </w:r>
      <w:proofErr w:type="spellEnd"/>
      <w:r w:rsidRPr="004457AB">
        <w:t xml:space="preserve"> syndrome </w:t>
      </w:r>
      <w:r w:rsidRPr="009C2610">
        <w:rPr>
          <w:iCs/>
          <w:szCs w:val="56"/>
        </w:rPr>
        <w:t>[1]</w:t>
      </w:r>
      <w:r>
        <w:rPr>
          <w:iCs/>
          <w:szCs w:val="56"/>
        </w:rPr>
        <w:t>.</w:t>
      </w:r>
    </w:p>
    <w:p w14:paraId="606D3055" w14:textId="77F579A3" w:rsidR="004917A0" w:rsidRPr="004457AB" w:rsidRDefault="004917A0" w:rsidP="000C4B86">
      <w:pPr>
        <w:pStyle w:val="Articalhistory"/>
        <w:rPr>
          <w:rFonts w:eastAsia="Calibri"/>
          <w:b/>
          <w:bCs/>
        </w:rPr>
      </w:pPr>
      <w:r w:rsidRPr="004457AB">
        <w:rPr>
          <w:rFonts w:eastAsia="Calibri"/>
        </w:rPr>
        <w:t xml:space="preserve">         In people of normal weight, glipican-4 is expressed more in the abdominal subcutaneous adipose tissue (SAT) than in the visceral adipose tissue (VAT) depots </w:t>
      </w:r>
      <w:r w:rsidRPr="009C2610">
        <w:rPr>
          <w:iCs/>
          <w:szCs w:val="56"/>
        </w:rPr>
        <w:t>[</w:t>
      </w:r>
      <w:r>
        <w:rPr>
          <w:iCs/>
          <w:szCs w:val="56"/>
        </w:rPr>
        <w:t>2</w:t>
      </w:r>
      <w:r w:rsidRPr="009C2610">
        <w:rPr>
          <w:iCs/>
          <w:szCs w:val="56"/>
        </w:rPr>
        <w:t>]</w:t>
      </w:r>
      <w:r w:rsidRPr="004457AB">
        <w:rPr>
          <w:rFonts w:eastAsia="Calibri"/>
        </w:rPr>
        <w:t>. However, Gpc4 mRNA levels in abdominal SAT fall</w:t>
      </w:r>
      <w:r w:rsidR="00FF1236">
        <w:rPr>
          <w:rFonts w:eastAsia="Calibri"/>
        </w:rPr>
        <w:t>,</w:t>
      </w:r>
      <w:r w:rsidRPr="004457AB">
        <w:rPr>
          <w:rFonts w:eastAsia="Calibri"/>
        </w:rPr>
        <w:t xml:space="preserve"> but those in VAT increase when body mass index (BMI) and waste-to-hip ratio (WHR) increase; these values are highest in individuals who are overweight or obese. Serum G</w:t>
      </w:r>
      <w:r w:rsidR="00FF1236">
        <w:rPr>
          <w:rFonts w:eastAsia="Calibri"/>
        </w:rPr>
        <w:t>PC</w:t>
      </w:r>
      <w:r w:rsidRPr="004457AB">
        <w:rPr>
          <w:rFonts w:eastAsia="Calibri"/>
        </w:rPr>
        <w:t xml:space="preserve">4 levels steadily increase as women go from a lean to an obese phenotype; however, in obese individuals, this may be because of a larger drop in GPLD1 activity brought on by increased insulin resistance. In general, rising BMI and insulin resistance </w:t>
      </w:r>
      <w:r w:rsidRPr="004457AB">
        <w:rPr>
          <w:rFonts w:eastAsia="Calibri"/>
        </w:rPr>
        <w:lastRenderedPageBreak/>
        <w:t xml:space="preserve">are strongly correlated with circulating Gpc4 levels, and more research suggests that glypican-4 is a new adipose-derived factor that promotes adipogenesis and sensitizes to insulin </w:t>
      </w:r>
      <w:r w:rsidRPr="009C2610">
        <w:rPr>
          <w:iCs/>
          <w:szCs w:val="56"/>
        </w:rPr>
        <w:t>[</w:t>
      </w:r>
      <w:r>
        <w:rPr>
          <w:iCs/>
          <w:szCs w:val="56"/>
        </w:rPr>
        <w:t>3</w:t>
      </w:r>
      <w:r w:rsidRPr="009C2610">
        <w:rPr>
          <w:iCs/>
          <w:szCs w:val="56"/>
        </w:rPr>
        <w:t>]</w:t>
      </w:r>
      <w:r w:rsidRPr="004457AB">
        <w:rPr>
          <w:rFonts w:eastAsia="Calibri"/>
        </w:rPr>
        <w:t>.</w:t>
      </w:r>
    </w:p>
    <w:p w14:paraId="57E427E9" w14:textId="71910242" w:rsidR="004917A0" w:rsidRPr="004457AB" w:rsidRDefault="004917A0" w:rsidP="00047E19">
      <w:pPr>
        <w:pStyle w:val="Articalhistory"/>
        <w:ind w:firstLine="720"/>
      </w:pPr>
      <w:r w:rsidRPr="004457AB">
        <w:rPr>
          <w:rFonts w:eastAsia="Calibri"/>
        </w:rPr>
        <w:t xml:space="preserve">Adipose tissue releases adipocytokines, which have been connected to the development of insulin resistance and the control of glucose and lipid metabolism. Adipocytokines and inhibitors of serine protease, such as </w:t>
      </w:r>
      <w:proofErr w:type="spellStart"/>
      <w:r w:rsidRPr="004457AB">
        <w:rPr>
          <w:rFonts w:eastAsia="Calibri"/>
        </w:rPr>
        <w:t>visfatin</w:t>
      </w:r>
      <w:proofErr w:type="spellEnd"/>
      <w:r w:rsidRPr="004457AB">
        <w:rPr>
          <w:rFonts w:eastAsia="Calibri"/>
        </w:rPr>
        <w:t xml:space="preserve"> and adiponectin, are directly linked to the pathophysiology of PCO and the emergence of insulin resistance. Glypican 4 (GPC4) is also released by adipose tissue and is linked to insulin resistance </w:t>
      </w:r>
      <w:r w:rsidRPr="009C2610">
        <w:rPr>
          <w:iCs/>
          <w:szCs w:val="56"/>
        </w:rPr>
        <w:t>[</w:t>
      </w:r>
      <w:r>
        <w:rPr>
          <w:iCs/>
          <w:szCs w:val="56"/>
        </w:rPr>
        <w:t>4</w:t>
      </w:r>
      <w:r w:rsidRPr="009C2610">
        <w:rPr>
          <w:iCs/>
          <w:szCs w:val="56"/>
        </w:rPr>
        <w:t>]</w:t>
      </w:r>
      <w:r>
        <w:rPr>
          <w:iCs/>
          <w:szCs w:val="56"/>
        </w:rPr>
        <w:t>.</w:t>
      </w:r>
    </w:p>
    <w:p w14:paraId="66DBF939" w14:textId="1F4869C3" w:rsidR="004917A0" w:rsidRPr="004457AB" w:rsidRDefault="004917A0" w:rsidP="0021542B">
      <w:pPr>
        <w:pStyle w:val="Articalhistory"/>
        <w:ind w:firstLine="720"/>
      </w:pPr>
      <w:r w:rsidRPr="004457AB">
        <w:rPr>
          <w:rFonts w:eastAsia="Calibri"/>
        </w:rPr>
        <w:t xml:space="preserve">The family of heparan </w:t>
      </w:r>
      <w:proofErr w:type="spellStart"/>
      <w:r w:rsidRPr="004457AB">
        <w:rPr>
          <w:rFonts w:eastAsia="Calibri"/>
        </w:rPr>
        <w:t>sulfate</w:t>
      </w:r>
      <w:proofErr w:type="spellEnd"/>
      <w:r w:rsidRPr="004457AB">
        <w:rPr>
          <w:rFonts w:eastAsia="Calibri"/>
        </w:rPr>
        <w:t xml:space="preserve"> proteoglycans includes the adipocytokine GPC4. The glycosylphosphatidylinositol (GPI) that binds GPC4 to the cell membrane's outer surface can be broken down by GPI lipase, releasing GPC4 into the extracellular space. Consequently, GPC4 operates in the extracellular milieu and on the cell membrane. In 1995, GPC4 was initially identified in the kidney and brain tissue of growing mice. Later studies revealed that visceral and subcutaneous adipose tissue also express GPC4 </w:t>
      </w:r>
      <w:r w:rsidRPr="009C2610">
        <w:rPr>
          <w:iCs/>
          <w:szCs w:val="56"/>
        </w:rPr>
        <w:t>[</w:t>
      </w:r>
      <w:r>
        <w:rPr>
          <w:iCs/>
          <w:szCs w:val="56"/>
        </w:rPr>
        <w:t>5</w:t>
      </w:r>
      <w:r w:rsidRPr="009C2610">
        <w:rPr>
          <w:iCs/>
          <w:szCs w:val="56"/>
        </w:rPr>
        <w:t>]</w:t>
      </w:r>
      <w:r>
        <w:rPr>
          <w:iCs/>
          <w:szCs w:val="56"/>
        </w:rPr>
        <w:t>.</w:t>
      </w:r>
    </w:p>
    <w:p w14:paraId="1FF4E8E9" w14:textId="038AD25B" w:rsidR="004917A0" w:rsidRDefault="004917A0" w:rsidP="004917A0">
      <w:pPr>
        <w:pStyle w:val="Articalhistory"/>
        <w:rPr>
          <w:rFonts w:eastAsia="Calibri"/>
        </w:rPr>
      </w:pPr>
      <w:r w:rsidRPr="004457AB">
        <w:rPr>
          <w:rFonts w:eastAsia="Calibri"/>
        </w:rPr>
        <w:t>Increased body mass index (BMI) and waist-to-hip ratio (WHR) are associated with a higher risk of metabolic and cardiovascular problems because visceral adipose tissue expresses more GPC4 than subcutaneous adipose tissue. Additionally, a study found that GPC4</w:t>
      </w:r>
      <w:r w:rsidR="009F7112">
        <w:rPr>
          <w:rFonts w:eastAsia="Calibri"/>
        </w:rPr>
        <w:t>.</w:t>
      </w:r>
    </w:p>
    <w:p w14:paraId="2FE26BD0" w14:textId="121F3B0B" w:rsidR="004917A0" w:rsidRDefault="004917A0" w:rsidP="004917A0">
      <w:pPr>
        <w:pStyle w:val="Articalhistory"/>
        <w:rPr>
          <w:iCs/>
          <w:szCs w:val="56"/>
        </w:rPr>
      </w:pPr>
      <w:r w:rsidRPr="004457AB">
        <w:rPr>
          <w:rFonts w:eastAsia="Calibri"/>
        </w:rPr>
        <w:t xml:space="preserve"> </w:t>
      </w:r>
      <w:r w:rsidR="00FF1236">
        <w:rPr>
          <w:rFonts w:eastAsia="Calibri"/>
        </w:rPr>
        <w:t>D</w:t>
      </w:r>
      <w:r w:rsidRPr="004457AB">
        <w:rPr>
          <w:rFonts w:eastAsia="Calibri"/>
        </w:rPr>
        <w:t xml:space="preserve">irectly interacts with Human BMI and insulin sensitivity are correlated with the amounts of insulin receptors in the liver, skeletal muscle, and adipose tissue, which enhance insulin </w:t>
      </w:r>
      <w:proofErr w:type="spellStart"/>
      <w:r w:rsidRPr="004457AB">
        <w:rPr>
          <w:rFonts w:eastAsia="Calibri"/>
        </w:rPr>
        <w:t>signaling</w:t>
      </w:r>
      <w:proofErr w:type="spellEnd"/>
      <w:r w:rsidRPr="004457AB">
        <w:rPr>
          <w:rFonts w:eastAsia="Calibri"/>
        </w:rPr>
        <w:t xml:space="preserve"> </w:t>
      </w:r>
      <w:r w:rsidRPr="009C2610">
        <w:rPr>
          <w:iCs/>
          <w:szCs w:val="56"/>
        </w:rPr>
        <w:t>[</w:t>
      </w:r>
      <w:r>
        <w:rPr>
          <w:iCs/>
          <w:szCs w:val="56"/>
        </w:rPr>
        <w:t>6</w:t>
      </w:r>
      <w:r w:rsidRPr="009C2610">
        <w:rPr>
          <w:iCs/>
          <w:szCs w:val="56"/>
        </w:rPr>
        <w:t>]</w:t>
      </w:r>
      <w:r>
        <w:rPr>
          <w:iCs/>
          <w:szCs w:val="56"/>
        </w:rPr>
        <w:t>.</w:t>
      </w:r>
    </w:p>
    <w:p w14:paraId="0B868363" w14:textId="61C4776A" w:rsidR="004917A0" w:rsidRPr="004457AB" w:rsidRDefault="004917A0" w:rsidP="0021542B">
      <w:pPr>
        <w:pStyle w:val="Articalhistory"/>
        <w:ind w:firstLine="720"/>
      </w:pPr>
      <w:r w:rsidRPr="004457AB">
        <w:rPr>
          <w:rFonts w:eastAsia="Calibri"/>
        </w:rPr>
        <w:t xml:space="preserve">Adipocyte development is inhibited in vitro by blocking the insulin-mediated phosphorylation of CCAAT/enhancer-binding protein-β (C/EBPβ). </w:t>
      </w:r>
      <w:r w:rsidR="00FF1236">
        <w:rPr>
          <w:rFonts w:eastAsia="Calibri"/>
        </w:rPr>
        <w:t>E</w:t>
      </w:r>
      <w:r w:rsidRPr="004457AB">
        <w:rPr>
          <w:rFonts w:eastAsia="Calibri"/>
        </w:rPr>
        <w:t xml:space="preserve">xamined the relationship between GPC4 levels and non-alcoholic fatty liver disease (NAFLD), insulin resistance, body fat distribution, and arteriosclerosis in Asian individuals without diabetes mellitus. Serum GPC4 levels were significantly higher in men than in women, and they were positively correlated with WHR and the ratio of visceral to subcutaneous fat area. Additionally, they were an independent influencing factor of NAFLD and had a substantial correlation with cardiometabolic risk factors, including insulin resistance and arteriosclerosis in women </w:t>
      </w:r>
      <w:r w:rsidRPr="009C2610">
        <w:rPr>
          <w:iCs/>
          <w:szCs w:val="56"/>
        </w:rPr>
        <w:t>[</w:t>
      </w:r>
      <w:r>
        <w:rPr>
          <w:iCs/>
          <w:szCs w:val="56"/>
        </w:rPr>
        <w:t>7</w:t>
      </w:r>
      <w:r w:rsidRPr="009C2610">
        <w:rPr>
          <w:iCs/>
          <w:szCs w:val="56"/>
        </w:rPr>
        <w:t>]</w:t>
      </w:r>
      <w:r w:rsidRPr="004457AB">
        <w:t>.</w:t>
      </w:r>
    </w:p>
    <w:p w14:paraId="18CE78F8" w14:textId="55CA66BD" w:rsidR="00047E19" w:rsidRDefault="004917A0" w:rsidP="0021542B">
      <w:pPr>
        <w:pStyle w:val="Articalhistory"/>
        <w:ind w:firstLine="720"/>
      </w:pPr>
      <w:r w:rsidRPr="004457AB">
        <w:t xml:space="preserve">The current study investigated the differences in blood GPC4 levels among PCOS patients and their correlation with sex hormone and metabolic parameter levels to provide the groundwork for early PCOS screening, diagnosis, and treatment. </w:t>
      </w:r>
      <w:r w:rsidRPr="009C2610">
        <w:rPr>
          <w:iCs/>
          <w:szCs w:val="56"/>
        </w:rPr>
        <w:t>[</w:t>
      </w:r>
      <w:r>
        <w:rPr>
          <w:iCs/>
          <w:szCs w:val="56"/>
        </w:rPr>
        <w:t>8</w:t>
      </w:r>
      <w:r w:rsidRPr="009C2610">
        <w:rPr>
          <w:iCs/>
          <w:szCs w:val="56"/>
        </w:rPr>
        <w:t>]</w:t>
      </w:r>
      <w:r w:rsidRPr="004457AB">
        <w:t>.</w:t>
      </w:r>
      <w:r>
        <w:t xml:space="preserve"> FSH</w:t>
      </w:r>
      <w:r w:rsidRPr="004457AB">
        <w:t xml:space="preserve"> is not as selectively p</w:t>
      </w:r>
      <w:r>
        <w:t>roduced as LH</w:t>
      </w:r>
      <w:r w:rsidRPr="004457AB">
        <w:t xml:space="preserve"> due to the fluctuating </w:t>
      </w:r>
      <w:proofErr w:type="spellStart"/>
      <w:r w:rsidRPr="004457AB">
        <w:t>pulsatility</w:t>
      </w:r>
      <w:proofErr w:type="spellEnd"/>
      <w:r w:rsidRPr="004457AB">
        <w:t xml:space="preserve"> of gonadotropin-releasing hormone (GnRH). A relative lack o</w:t>
      </w:r>
      <w:r>
        <w:t>f FSH</w:t>
      </w:r>
      <w:r w:rsidRPr="004457AB">
        <w:t xml:space="preserve"> inhibits sufficient activation of aromatase activity inside the granulosa cell</w:t>
      </w:r>
      <w:r>
        <w:t>s, whereas LH</w:t>
      </w:r>
      <w:r w:rsidRPr="004457AB">
        <w:t xml:space="preserve"> promotes ovarian androgen production. Follicle atresia is brought on by elevated intra-follicular androgen levels. Anovulation and oligo-amenorrhea follow a lack of follicular growth </w:t>
      </w:r>
      <w:r w:rsidRPr="009C2610">
        <w:rPr>
          <w:iCs/>
          <w:szCs w:val="56"/>
        </w:rPr>
        <w:t>[</w:t>
      </w:r>
      <w:r>
        <w:rPr>
          <w:iCs/>
          <w:szCs w:val="56"/>
        </w:rPr>
        <w:t>9</w:t>
      </w:r>
      <w:r w:rsidRPr="009C2610">
        <w:rPr>
          <w:iCs/>
          <w:szCs w:val="56"/>
        </w:rPr>
        <w:t>]</w:t>
      </w:r>
      <w:r w:rsidRPr="004457AB">
        <w:t>.</w:t>
      </w:r>
      <w:r>
        <w:t xml:space="preserve"> </w:t>
      </w:r>
      <w:r w:rsidRPr="004457AB">
        <w:t xml:space="preserve">Elevated serum levels of androgens, particularly androstenedione, create </w:t>
      </w:r>
      <w:proofErr w:type="spellStart"/>
      <w:r w:rsidRPr="004457AB">
        <w:t>estrogens</w:t>
      </w:r>
      <w:proofErr w:type="spellEnd"/>
      <w:r w:rsidRPr="004457AB">
        <w:t>, particularly oestradiol. Since conversion primarily occurs</w:t>
      </w:r>
      <w:r w:rsidR="00FF1236">
        <w:t>,</w:t>
      </w:r>
      <w:r w:rsidRPr="004457AB">
        <w:t xml:space="preserve"> Obese PCOS patients will produce higher </w:t>
      </w:r>
      <w:proofErr w:type="spellStart"/>
      <w:r w:rsidRPr="004457AB">
        <w:t>estrogen</w:t>
      </w:r>
      <w:proofErr w:type="spellEnd"/>
      <w:r w:rsidRPr="004457AB">
        <w:t xml:space="preserve"> in the stromal cells of adipose tissue. As opposed to the typical feedback fluctuations seen in the presence of a developing follicle and rapidly fluctuating levels of </w:t>
      </w:r>
      <w:proofErr w:type="spellStart"/>
      <w:r w:rsidRPr="004457AB">
        <w:t>estradiol</w:t>
      </w:r>
      <w:proofErr w:type="spellEnd"/>
      <w:r w:rsidRPr="004457AB">
        <w:t xml:space="preserve">, this conversion produces constant feedback at the pituitary gland and hypothalamus </w:t>
      </w:r>
      <w:r w:rsidRPr="009C2610">
        <w:rPr>
          <w:iCs/>
          <w:szCs w:val="56"/>
        </w:rPr>
        <w:t>[</w:t>
      </w:r>
      <w:r>
        <w:rPr>
          <w:iCs/>
          <w:szCs w:val="56"/>
        </w:rPr>
        <w:t>10</w:t>
      </w:r>
      <w:r w:rsidRPr="009C2610">
        <w:rPr>
          <w:iCs/>
          <w:szCs w:val="56"/>
        </w:rPr>
        <w:t>]</w:t>
      </w:r>
      <w:r w:rsidRPr="004457AB">
        <w:t>.</w:t>
      </w:r>
      <w:r>
        <w:t xml:space="preserve"> </w:t>
      </w:r>
    </w:p>
    <w:p w14:paraId="210DB4A4" w14:textId="27E86098" w:rsidR="004917A0" w:rsidRDefault="004917A0" w:rsidP="0021542B">
      <w:pPr>
        <w:pStyle w:val="Articalhistory"/>
        <w:ind w:firstLine="720"/>
      </w:pPr>
      <w:r w:rsidRPr="004457AB">
        <w:t>The levels of sex hormone-binding globulin (SHBG) are lower in women with PCOS. The majority of sex hormones are bound by this glycoprotein, which is made in the liver. Less circulating androgen is bound because SHBG synthesis is decreased, which makes binding to end-organ receptors easier</w:t>
      </w:r>
      <w:r>
        <w:t xml:space="preserve"> </w:t>
      </w:r>
      <w:r w:rsidRPr="009C2610">
        <w:rPr>
          <w:iCs/>
          <w:szCs w:val="56"/>
        </w:rPr>
        <w:t>[</w:t>
      </w:r>
      <w:r>
        <w:rPr>
          <w:iCs/>
          <w:szCs w:val="56"/>
        </w:rPr>
        <w:t>11</w:t>
      </w:r>
      <w:r w:rsidRPr="009C2610">
        <w:rPr>
          <w:iCs/>
          <w:szCs w:val="56"/>
        </w:rPr>
        <w:t>]</w:t>
      </w:r>
      <w:r w:rsidRPr="004457AB">
        <w:t>.</w:t>
      </w:r>
      <w:r>
        <w:t xml:space="preserve"> </w:t>
      </w:r>
      <w:r w:rsidRPr="004457AB">
        <w:t xml:space="preserve">It is believed that women with PCOS are more likely to miscarry following an aided or spontaneous conception. PCOS patients are said to have three times the rate of early pregnancy loss compared to healthy women, with healthy women reporting rates of 10% to 15% </w:t>
      </w:r>
      <w:r w:rsidRPr="009C2610">
        <w:rPr>
          <w:iCs/>
          <w:szCs w:val="56"/>
        </w:rPr>
        <w:t>[</w:t>
      </w:r>
      <w:r>
        <w:rPr>
          <w:iCs/>
          <w:szCs w:val="56"/>
        </w:rPr>
        <w:t>12</w:t>
      </w:r>
      <w:r w:rsidRPr="009C2610">
        <w:rPr>
          <w:iCs/>
          <w:szCs w:val="56"/>
        </w:rPr>
        <w:t>]</w:t>
      </w:r>
      <w:r w:rsidRPr="004457AB">
        <w:t>.</w:t>
      </w:r>
    </w:p>
    <w:p w14:paraId="75027A21" w14:textId="77777777" w:rsidR="003D4CF9" w:rsidRDefault="003D4CF9" w:rsidP="0021542B">
      <w:pPr>
        <w:pStyle w:val="Articalhistory"/>
        <w:ind w:firstLine="720"/>
      </w:pPr>
    </w:p>
    <w:p w14:paraId="54DEEE3B" w14:textId="77777777" w:rsidR="003D4CF9" w:rsidRPr="004457AB" w:rsidRDefault="003D4CF9" w:rsidP="0021542B">
      <w:pPr>
        <w:pStyle w:val="Articalhistory"/>
        <w:ind w:firstLine="720"/>
      </w:pPr>
    </w:p>
    <w:p w14:paraId="79EE6157" w14:textId="77777777" w:rsidR="00F10E0E" w:rsidRPr="00F10E0E" w:rsidRDefault="00F10E0E" w:rsidP="007609C4">
      <w:pPr>
        <w:pStyle w:val="Articalhistory"/>
        <w:rPr>
          <w:i/>
          <w:iCs/>
          <w:szCs w:val="56"/>
        </w:rPr>
      </w:pPr>
    </w:p>
    <w:p w14:paraId="2AF7DF63" w14:textId="2D2D4BBB" w:rsidR="00F10E0E" w:rsidRDefault="00717BCE" w:rsidP="000C0C42">
      <w:pPr>
        <w:pStyle w:val="NoSpacing"/>
        <w:rPr>
          <w:b/>
          <w:bCs/>
        </w:rPr>
      </w:pPr>
      <w:r w:rsidRPr="00717BCE">
        <w:rPr>
          <w:b/>
          <w:bCs/>
        </w:rPr>
        <w:lastRenderedPageBreak/>
        <w:t>Method</w:t>
      </w:r>
      <w:r w:rsidR="00084CBE">
        <w:rPr>
          <w:b/>
          <w:bCs/>
        </w:rPr>
        <w:t>s</w:t>
      </w:r>
    </w:p>
    <w:p w14:paraId="597E154A" w14:textId="1F401750" w:rsidR="004917A0" w:rsidRPr="004917A0" w:rsidRDefault="004917A0" w:rsidP="000C4B86">
      <w:pPr>
        <w:pStyle w:val="Articalhistory"/>
        <w:ind w:firstLine="720"/>
        <w:rPr>
          <w:b/>
          <w:bCs/>
        </w:rPr>
      </w:pPr>
      <w:r w:rsidRPr="004457AB">
        <w:t>Between September and December 2024, the survey was carried out. 100 women with PCOS between the ages of 15 and 45 who had not yet begun</w:t>
      </w:r>
      <w:r w:rsidR="00FF1236">
        <w:t>.</w:t>
      </w:r>
      <w:r w:rsidRPr="004457AB">
        <w:t xml:space="preserve"> </w:t>
      </w:r>
      <w:proofErr w:type="gramStart"/>
      <w:r w:rsidRPr="004457AB">
        <w:t>The</w:t>
      </w:r>
      <w:proofErr w:type="gramEnd"/>
      <w:r w:rsidRPr="004457AB">
        <w:t xml:space="preserve"> control group consisted of 40 age-matched healthy women with normal ovaries and regular menstrual cycles, while the PCOS group consisted of 40 women who were taking medication. </w:t>
      </w:r>
      <w:r w:rsidRPr="004457AB">
        <w:br/>
        <w:t>The Rotterdam consensus criteria for PCOS were used to diagnose PCOS in patients who met two of the three requirements: (i) oligomenorrhea or amenorrhea, (ii) ultrasound imaging demonstrating polycystic ovary syndrome, and (iii) laboratory detection of hyperandrogenism and/or clinical manifestations of hyperandrogenism. Every participant signed informed permission papers and willingly took part in the current investigation.</w:t>
      </w:r>
    </w:p>
    <w:p w14:paraId="5503AEF1" w14:textId="7C26E436" w:rsidR="004917A0" w:rsidRPr="004457AB" w:rsidRDefault="004917A0" w:rsidP="000C4B86">
      <w:pPr>
        <w:pStyle w:val="Articalhistory"/>
        <w:ind w:firstLine="720"/>
      </w:pPr>
      <w:r w:rsidRPr="004457AB">
        <w:t xml:space="preserve">The ethical committee of Kirkuk City Hospitals and Outpatient Clinics examined and approved the current cross-sectional study. </w:t>
      </w:r>
      <w:r w:rsidR="00FF1236">
        <w:t>A</w:t>
      </w:r>
      <w:r w:rsidRPr="004457AB">
        <w:t>cquiring general</w:t>
      </w:r>
      <w:r>
        <w:t xml:space="preserve"> </w:t>
      </w:r>
      <w:r w:rsidRPr="004457AB">
        <w:t>information</w:t>
      </w:r>
      <w:r w:rsidR="00FF1236">
        <w:t>,</w:t>
      </w:r>
      <w:r>
        <w:t xml:space="preserve"> </w:t>
      </w:r>
      <w:r w:rsidR="00FF1236">
        <w:t>w</w:t>
      </w:r>
      <w:r w:rsidRPr="004457AB">
        <w:t>e asked the responden</w:t>
      </w:r>
      <w:r>
        <w:t>ts about their personal history</w:t>
      </w:r>
      <w:r w:rsidRPr="004457AB">
        <w:t>. We took height, weight, and age measurements of the individuals. We used the formula BMI=weight/height² (kg/m²) to compute the BMI. Estimation of the lipid profile, sex hormones, and serum Glypican-4 w</w:t>
      </w:r>
      <w:r w:rsidR="00FF1236">
        <w:t>as</w:t>
      </w:r>
      <w:r w:rsidRPr="004457AB">
        <w:t xml:space="preserve"> done. </w:t>
      </w:r>
    </w:p>
    <w:p w14:paraId="120B4588" w14:textId="610B3E60" w:rsidR="004917A0" w:rsidRDefault="00FF1236" w:rsidP="0021542B">
      <w:pPr>
        <w:pStyle w:val="Articalhistory"/>
        <w:ind w:firstLine="720"/>
      </w:pPr>
      <w:r>
        <w:t>Before</w:t>
      </w:r>
      <w:r w:rsidR="004917A0" w:rsidRPr="004457AB">
        <w:t xml:space="preserve"> blood collection, all subjects fasted for at least eight hours. In the morning, venous blood samples were collected, centrifuged for ten minutes at 3000 rpm, and then left to stand at room temperature (18–25°C) for an hour. In order to assess the levels of sex hormones, researchers collected venou</w:t>
      </w:r>
      <w:r w:rsidR="004917A0">
        <w:t>s blood samples from the</w:t>
      </w:r>
      <w:r w:rsidR="004917A0" w:rsidRPr="004457AB">
        <w:t xml:space="preserve"> controls on days three through five of the menstrual cycle. The PCOS-afflicted women's samples were collected either following a spontaneous monthly flow or following more than three months of amenorrhea. The levels of </w:t>
      </w:r>
      <w:r w:rsidR="004917A0">
        <w:t>prolactin, LH</w:t>
      </w:r>
      <w:r w:rsidR="004917A0" w:rsidRPr="004457AB">
        <w:t>, an</w:t>
      </w:r>
      <w:r w:rsidR="004917A0">
        <w:t>d FSH</w:t>
      </w:r>
      <w:r w:rsidR="004917A0" w:rsidRPr="004457AB">
        <w:t xml:space="preserve"> were measured using a chemiluminescence immunoassay. Using enzyme-linked immunosorbent test kits (</w:t>
      </w:r>
      <w:proofErr w:type="spellStart"/>
      <w:r w:rsidR="004917A0" w:rsidRPr="004457AB">
        <w:t>Elkbiotech</w:t>
      </w:r>
      <w:proofErr w:type="spellEnd"/>
      <w:r w:rsidR="004917A0" w:rsidRPr="004457AB">
        <w:t>, China), serum Glypican-4 levels were determined.</w:t>
      </w:r>
    </w:p>
    <w:p w14:paraId="141E6136" w14:textId="77777777" w:rsidR="004917A0" w:rsidRPr="004917A0" w:rsidRDefault="004917A0" w:rsidP="004917A0">
      <w:pPr>
        <w:pStyle w:val="Articalhistory"/>
      </w:pPr>
    </w:p>
    <w:p w14:paraId="06F0B0E3" w14:textId="74492550" w:rsidR="00717BCE" w:rsidRDefault="00717BCE" w:rsidP="000C0C42">
      <w:pPr>
        <w:pStyle w:val="NoSpacing"/>
        <w:rPr>
          <w:b/>
          <w:bCs/>
        </w:rPr>
      </w:pPr>
      <w:r w:rsidRPr="00717BCE">
        <w:rPr>
          <w:b/>
          <w:bCs/>
        </w:rPr>
        <w:t>Results</w:t>
      </w:r>
    </w:p>
    <w:p w14:paraId="6C84216B" w14:textId="26DF2E99" w:rsidR="004917A0" w:rsidRDefault="004917A0" w:rsidP="000C0C42">
      <w:pPr>
        <w:pStyle w:val="Articalhistory"/>
        <w:spacing w:after="240"/>
        <w:ind w:firstLine="720"/>
      </w:pPr>
      <w:r w:rsidRPr="004457AB">
        <w:t xml:space="preserve">As indicated in </w:t>
      </w:r>
      <w:r w:rsidR="00FF1236">
        <w:t>T</w:t>
      </w:r>
      <w:r w:rsidRPr="004457AB">
        <w:t>able 1, the data given indicates that the mean ± standard deviation of the serum level of human GPC4 in polycystic ovarian syndrome (PCOS) was significantly (p&lt;0.01) higher than that of the control group.</w:t>
      </w:r>
    </w:p>
    <w:p w14:paraId="1E586EC4" w14:textId="77777777" w:rsidR="004917A0" w:rsidRPr="004457AB" w:rsidRDefault="004917A0" w:rsidP="004917A0">
      <w:pPr>
        <w:pStyle w:val="Articalhistory"/>
        <w:rPr>
          <w:b/>
          <w:bCs/>
        </w:rPr>
      </w:pPr>
    </w:p>
    <w:p w14:paraId="419E089B" w14:textId="5D7F2777" w:rsidR="004917A0" w:rsidRPr="0021542B" w:rsidRDefault="004917A0" w:rsidP="004917A0">
      <w:pPr>
        <w:pStyle w:val="Articalhistory"/>
      </w:pPr>
      <w:r w:rsidRPr="004457AB">
        <w:rPr>
          <w:b/>
          <w:bCs/>
        </w:rPr>
        <w:t xml:space="preserve">Table 1: </w:t>
      </w:r>
      <w:r w:rsidRPr="0021542B">
        <w:t xml:space="preserve">A comparison of the mean ± SD of serum human GPC4 between women with PCOS and </w:t>
      </w:r>
      <w:r w:rsidR="00FF1236">
        <w:t xml:space="preserve">the </w:t>
      </w:r>
      <w:r w:rsidRPr="0021542B">
        <w:t>control group.</w:t>
      </w:r>
    </w:p>
    <w:p w14:paraId="001F1D2A" w14:textId="77777777" w:rsidR="004917A0" w:rsidRPr="004457AB" w:rsidRDefault="004917A0" w:rsidP="004917A0">
      <w:pPr>
        <w:pStyle w:val="Articalhistory"/>
        <w:rPr>
          <w:b/>
          <w:bCs/>
        </w:rPr>
      </w:pPr>
    </w:p>
    <w:tbl>
      <w:tblPr>
        <w:tblStyle w:val="TableGridLight"/>
        <w:tblW w:w="7083" w:type="dxa"/>
        <w:jc w:val="center"/>
        <w:tblLook w:val="04A0" w:firstRow="1" w:lastRow="0" w:firstColumn="1" w:lastColumn="0" w:noHBand="0" w:noVBand="1"/>
      </w:tblPr>
      <w:tblGrid>
        <w:gridCol w:w="1843"/>
        <w:gridCol w:w="850"/>
        <w:gridCol w:w="3261"/>
        <w:gridCol w:w="1129"/>
      </w:tblGrid>
      <w:tr w:rsidR="004917A0" w:rsidRPr="004457AB" w14:paraId="6DD6F8C6" w14:textId="77777777" w:rsidTr="00BB31D6">
        <w:trPr>
          <w:trHeight w:val="605"/>
          <w:jc w:val="center"/>
        </w:trPr>
        <w:tc>
          <w:tcPr>
            <w:tcW w:w="1843" w:type="dxa"/>
            <w:hideMark/>
          </w:tcPr>
          <w:p w14:paraId="66BCED03" w14:textId="77777777" w:rsidR="004917A0" w:rsidRPr="004917A0" w:rsidRDefault="004917A0" w:rsidP="001E0D38">
            <w:pPr>
              <w:pStyle w:val="Articalhistory"/>
              <w:bidi/>
              <w:jc w:val="center"/>
              <w:rPr>
                <w:b/>
                <w:bCs/>
                <w:sz w:val="20"/>
                <w:szCs w:val="40"/>
                <w:rtl/>
              </w:rPr>
            </w:pPr>
            <w:r w:rsidRPr="004917A0">
              <w:rPr>
                <w:b/>
                <w:bCs/>
                <w:sz w:val="20"/>
                <w:szCs w:val="40"/>
              </w:rPr>
              <w:t>Study groups</w:t>
            </w:r>
          </w:p>
          <w:p w14:paraId="78DD6999" w14:textId="77777777" w:rsidR="004917A0" w:rsidRPr="004917A0" w:rsidRDefault="004917A0" w:rsidP="001E0D38">
            <w:pPr>
              <w:pStyle w:val="Articalhistory"/>
              <w:bidi/>
              <w:jc w:val="center"/>
              <w:rPr>
                <w:b/>
                <w:bCs/>
                <w:sz w:val="20"/>
                <w:szCs w:val="40"/>
                <w:rtl/>
              </w:rPr>
            </w:pPr>
          </w:p>
        </w:tc>
        <w:tc>
          <w:tcPr>
            <w:tcW w:w="850" w:type="dxa"/>
            <w:hideMark/>
          </w:tcPr>
          <w:p w14:paraId="612906CB" w14:textId="77777777" w:rsidR="004917A0" w:rsidRPr="004917A0" w:rsidRDefault="004917A0" w:rsidP="001E0D38">
            <w:pPr>
              <w:pStyle w:val="Articalhistory"/>
              <w:bidi/>
              <w:jc w:val="center"/>
              <w:rPr>
                <w:b/>
                <w:bCs/>
                <w:sz w:val="20"/>
                <w:szCs w:val="40"/>
              </w:rPr>
            </w:pPr>
            <w:r w:rsidRPr="004917A0">
              <w:rPr>
                <w:b/>
                <w:bCs/>
                <w:sz w:val="20"/>
                <w:szCs w:val="40"/>
              </w:rPr>
              <w:t>n</w:t>
            </w:r>
          </w:p>
        </w:tc>
        <w:tc>
          <w:tcPr>
            <w:tcW w:w="3261" w:type="dxa"/>
            <w:hideMark/>
          </w:tcPr>
          <w:p w14:paraId="7DF68F74" w14:textId="77777777" w:rsidR="004917A0" w:rsidRPr="004917A0" w:rsidRDefault="004917A0" w:rsidP="001E0D38">
            <w:pPr>
              <w:pStyle w:val="Articalhistory"/>
              <w:bidi/>
              <w:jc w:val="center"/>
              <w:rPr>
                <w:b/>
                <w:bCs/>
                <w:sz w:val="20"/>
                <w:szCs w:val="40"/>
              </w:rPr>
            </w:pPr>
            <w:r w:rsidRPr="004917A0">
              <w:rPr>
                <w:b/>
                <w:bCs/>
                <w:sz w:val="20"/>
                <w:szCs w:val="40"/>
              </w:rPr>
              <w:t>Serum Human GPC4 (Glypican 4)</w:t>
            </w:r>
          </w:p>
          <w:p w14:paraId="76EA630D" w14:textId="77777777" w:rsidR="004917A0" w:rsidRPr="004917A0" w:rsidRDefault="004917A0" w:rsidP="001E0D38">
            <w:pPr>
              <w:pStyle w:val="Articalhistory"/>
              <w:bidi/>
              <w:jc w:val="center"/>
              <w:rPr>
                <w:b/>
                <w:bCs/>
                <w:sz w:val="20"/>
                <w:szCs w:val="40"/>
              </w:rPr>
            </w:pPr>
            <w:r w:rsidRPr="004917A0">
              <w:rPr>
                <w:b/>
                <w:bCs/>
                <w:sz w:val="20"/>
                <w:szCs w:val="40"/>
              </w:rPr>
              <w:t xml:space="preserve">Mean ± SD ( </w:t>
            </w:r>
            <w:proofErr w:type="spellStart"/>
            <w:r w:rsidRPr="004917A0">
              <w:rPr>
                <w:b/>
                <w:bCs/>
                <w:sz w:val="20"/>
                <w:szCs w:val="40"/>
              </w:rPr>
              <w:t>pg</w:t>
            </w:r>
            <w:proofErr w:type="spellEnd"/>
            <w:r w:rsidRPr="004917A0">
              <w:rPr>
                <w:b/>
                <w:bCs/>
                <w:sz w:val="20"/>
                <w:szCs w:val="40"/>
              </w:rPr>
              <w:t>/mL)</w:t>
            </w:r>
          </w:p>
        </w:tc>
        <w:tc>
          <w:tcPr>
            <w:tcW w:w="1129" w:type="dxa"/>
            <w:hideMark/>
          </w:tcPr>
          <w:p w14:paraId="18E6EB20" w14:textId="77777777" w:rsidR="004917A0" w:rsidRPr="004917A0" w:rsidRDefault="004917A0" w:rsidP="001E0D38">
            <w:pPr>
              <w:pStyle w:val="Articalhistory"/>
              <w:bidi/>
              <w:jc w:val="center"/>
              <w:rPr>
                <w:b/>
                <w:bCs/>
                <w:sz w:val="20"/>
                <w:szCs w:val="40"/>
              </w:rPr>
            </w:pPr>
            <w:r w:rsidRPr="004917A0">
              <w:rPr>
                <w:b/>
                <w:bCs/>
                <w:sz w:val="20"/>
                <w:szCs w:val="40"/>
              </w:rPr>
              <w:t>P. value</w:t>
            </w:r>
          </w:p>
        </w:tc>
      </w:tr>
      <w:tr w:rsidR="004917A0" w:rsidRPr="004457AB" w14:paraId="3B62AA9E" w14:textId="77777777" w:rsidTr="00BB31D6">
        <w:trPr>
          <w:trHeight w:val="556"/>
          <w:jc w:val="center"/>
        </w:trPr>
        <w:tc>
          <w:tcPr>
            <w:tcW w:w="1843" w:type="dxa"/>
            <w:hideMark/>
          </w:tcPr>
          <w:p w14:paraId="6B12AF13" w14:textId="6581EE31" w:rsidR="004917A0" w:rsidRPr="004917A0" w:rsidRDefault="004917A0" w:rsidP="001E0D38">
            <w:pPr>
              <w:pStyle w:val="Articalhistory"/>
              <w:bidi/>
              <w:jc w:val="right"/>
              <w:rPr>
                <w:b/>
                <w:bCs/>
                <w:sz w:val="20"/>
                <w:szCs w:val="40"/>
                <w:rtl/>
              </w:rPr>
            </w:pPr>
            <w:r w:rsidRPr="004917A0">
              <w:rPr>
                <w:b/>
                <w:bCs/>
                <w:sz w:val="20"/>
                <w:szCs w:val="40"/>
              </w:rPr>
              <w:t xml:space="preserve">Polycystic Ovary </w:t>
            </w:r>
            <w:r w:rsidR="00FF1236">
              <w:rPr>
                <w:b/>
                <w:bCs/>
                <w:sz w:val="20"/>
                <w:szCs w:val="40"/>
              </w:rPr>
              <w:t>S</w:t>
            </w:r>
            <w:r w:rsidRPr="004917A0">
              <w:rPr>
                <w:b/>
                <w:bCs/>
                <w:sz w:val="20"/>
                <w:szCs w:val="40"/>
              </w:rPr>
              <w:t>yndrome (PCOS)</w:t>
            </w:r>
          </w:p>
        </w:tc>
        <w:tc>
          <w:tcPr>
            <w:tcW w:w="850" w:type="dxa"/>
            <w:hideMark/>
          </w:tcPr>
          <w:p w14:paraId="46D36284" w14:textId="77777777" w:rsidR="004917A0" w:rsidRPr="004917A0" w:rsidRDefault="004917A0" w:rsidP="001E0D38">
            <w:pPr>
              <w:pStyle w:val="Articalhistory"/>
              <w:bidi/>
              <w:jc w:val="center"/>
              <w:rPr>
                <w:sz w:val="20"/>
                <w:szCs w:val="40"/>
              </w:rPr>
            </w:pPr>
            <w:r w:rsidRPr="004917A0">
              <w:rPr>
                <w:sz w:val="20"/>
                <w:szCs w:val="40"/>
              </w:rPr>
              <w:t>100</w:t>
            </w:r>
          </w:p>
          <w:p w14:paraId="36772A1C" w14:textId="77777777" w:rsidR="004917A0" w:rsidRPr="004917A0" w:rsidRDefault="004917A0" w:rsidP="001E0D38">
            <w:pPr>
              <w:pStyle w:val="Articalhistory"/>
              <w:bidi/>
              <w:jc w:val="center"/>
              <w:rPr>
                <w:sz w:val="20"/>
                <w:szCs w:val="40"/>
                <w:rtl/>
              </w:rPr>
            </w:pPr>
          </w:p>
        </w:tc>
        <w:tc>
          <w:tcPr>
            <w:tcW w:w="3261" w:type="dxa"/>
            <w:hideMark/>
          </w:tcPr>
          <w:p w14:paraId="14974AF1" w14:textId="77777777" w:rsidR="004917A0" w:rsidRPr="004917A0" w:rsidRDefault="004917A0" w:rsidP="001E0D38">
            <w:pPr>
              <w:pStyle w:val="Articalhistory"/>
              <w:jc w:val="center"/>
              <w:rPr>
                <w:sz w:val="20"/>
                <w:szCs w:val="40"/>
              </w:rPr>
            </w:pPr>
            <w:r w:rsidRPr="004917A0">
              <w:rPr>
                <w:sz w:val="20"/>
                <w:szCs w:val="40"/>
              </w:rPr>
              <w:t>4.9 ±1.63</w:t>
            </w:r>
          </w:p>
        </w:tc>
        <w:tc>
          <w:tcPr>
            <w:tcW w:w="1129" w:type="dxa"/>
            <w:vMerge w:val="restart"/>
            <w:hideMark/>
          </w:tcPr>
          <w:p w14:paraId="0B22C011" w14:textId="77777777" w:rsidR="004917A0" w:rsidRPr="004917A0" w:rsidRDefault="004917A0" w:rsidP="001E0D38">
            <w:pPr>
              <w:pStyle w:val="Articalhistory"/>
              <w:jc w:val="center"/>
              <w:rPr>
                <w:b/>
                <w:bCs/>
                <w:sz w:val="20"/>
                <w:szCs w:val="40"/>
              </w:rPr>
            </w:pPr>
          </w:p>
          <w:p w14:paraId="4F2F0EB6" w14:textId="2E423EEC" w:rsidR="004917A0" w:rsidRPr="004917A0" w:rsidRDefault="004917A0" w:rsidP="001E0D38">
            <w:pPr>
              <w:pStyle w:val="Articalhistory"/>
              <w:jc w:val="center"/>
              <w:rPr>
                <w:sz w:val="20"/>
                <w:szCs w:val="40"/>
              </w:rPr>
            </w:pPr>
            <w:r w:rsidRPr="004917A0">
              <w:rPr>
                <w:sz w:val="20"/>
                <w:szCs w:val="40"/>
              </w:rPr>
              <w:t>P&lt;0.01</w:t>
            </w:r>
          </w:p>
          <w:p w14:paraId="5B544158" w14:textId="77777777" w:rsidR="004917A0" w:rsidRPr="004917A0" w:rsidRDefault="004917A0" w:rsidP="001E0D38">
            <w:pPr>
              <w:pStyle w:val="Articalhistory"/>
              <w:bidi/>
              <w:jc w:val="center"/>
              <w:rPr>
                <w:sz w:val="20"/>
                <w:szCs w:val="40"/>
              </w:rPr>
            </w:pPr>
          </w:p>
          <w:p w14:paraId="4A5BB605" w14:textId="77777777" w:rsidR="004917A0" w:rsidRPr="004917A0" w:rsidRDefault="004917A0" w:rsidP="001E0D38">
            <w:pPr>
              <w:pStyle w:val="Articalhistory"/>
              <w:bidi/>
              <w:jc w:val="center"/>
              <w:rPr>
                <w:sz w:val="20"/>
                <w:szCs w:val="40"/>
                <w:rtl/>
              </w:rPr>
            </w:pPr>
          </w:p>
        </w:tc>
      </w:tr>
      <w:tr w:rsidR="004917A0" w:rsidRPr="004457AB" w14:paraId="1D4DE1D1" w14:textId="77777777" w:rsidTr="00BB31D6">
        <w:trPr>
          <w:trHeight w:val="494"/>
          <w:jc w:val="center"/>
        </w:trPr>
        <w:tc>
          <w:tcPr>
            <w:tcW w:w="1843" w:type="dxa"/>
            <w:hideMark/>
          </w:tcPr>
          <w:p w14:paraId="53385034" w14:textId="77777777" w:rsidR="004917A0" w:rsidRPr="004457AB" w:rsidRDefault="004917A0" w:rsidP="001E0D38">
            <w:pPr>
              <w:pStyle w:val="Articalhistory"/>
              <w:bidi/>
              <w:jc w:val="right"/>
              <w:rPr>
                <w:b/>
                <w:bCs/>
              </w:rPr>
            </w:pPr>
            <w:r w:rsidRPr="004457AB">
              <w:rPr>
                <w:b/>
                <w:bCs/>
              </w:rPr>
              <w:t>Control group</w:t>
            </w:r>
          </w:p>
        </w:tc>
        <w:tc>
          <w:tcPr>
            <w:tcW w:w="850" w:type="dxa"/>
            <w:hideMark/>
          </w:tcPr>
          <w:p w14:paraId="3269CECE" w14:textId="77777777" w:rsidR="004917A0" w:rsidRPr="004457AB" w:rsidRDefault="004917A0" w:rsidP="001E0D38">
            <w:pPr>
              <w:pStyle w:val="Articalhistory"/>
              <w:bidi/>
              <w:jc w:val="center"/>
            </w:pPr>
            <w:r w:rsidRPr="004457AB">
              <w:t>40</w:t>
            </w:r>
          </w:p>
        </w:tc>
        <w:tc>
          <w:tcPr>
            <w:tcW w:w="3261" w:type="dxa"/>
            <w:hideMark/>
          </w:tcPr>
          <w:p w14:paraId="202F8E9A" w14:textId="77777777" w:rsidR="004917A0" w:rsidRPr="004457AB" w:rsidRDefault="004917A0" w:rsidP="001E0D38">
            <w:pPr>
              <w:pStyle w:val="Articalhistory"/>
              <w:jc w:val="center"/>
            </w:pPr>
            <w:r w:rsidRPr="004457AB">
              <w:t>2.87±0.81</w:t>
            </w:r>
          </w:p>
        </w:tc>
        <w:tc>
          <w:tcPr>
            <w:tcW w:w="1129" w:type="dxa"/>
            <w:vMerge/>
            <w:hideMark/>
          </w:tcPr>
          <w:p w14:paraId="5B7E74A6" w14:textId="77777777" w:rsidR="004917A0" w:rsidRPr="004457AB" w:rsidRDefault="004917A0" w:rsidP="001E0D38">
            <w:pPr>
              <w:pStyle w:val="Articalhistory"/>
              <w:bidi/>
              <w:jc w:val="center"/>
            </w:pPr>
          </w:p>
        </w:tc>
      </w:tr>
    </w:tbl>
    <w:p w14:paraId="4FDCDCC7" w14:textId="3E74A7C5" w:rsidR="004917A0" w:rsidRDefault="004917A0" w:rsidP="004917A0">
      <w:pPr>
        <w:pStyle w:val="Articalhistory"/>
        <w:rPr>
          <w:shd w:val="clear" w:color="auto" w:fill="FFFFFF"/>
        </w:rPr>
      </w:pPr>
      <w:r w:rsidRPr="004457AB">
        <w:rPr>
          <w:shd w:val="clear" w:color="auto" w:fill="FFFFFF"/>
        </w:rPr>
        <w:t xml:space="preserve"> </w:t>
      </w:r>
    </w:p>
    <w:p w14:paraId="670E8D91" w14:textId="77777777" w:rsidR="004917A0" w:rsidRPr="004457AB" w:rsidRDefault="004917A0" w:rsidP="004917A0">
      <w:pPr>
        <w:pStyle w:val="Articalhistory"/>
        <w:rPr>
          <w:b/>
          <w:bCs/>
        </w:rPr>
      </w:pPr>
    </w:p>
    <w:p w14:paraId="7530C6FC" w14:textId="43E87D94" w:rsidR="004917A0" w:rsidRDefault="004917A0" w:rsidP="009F7112">
      <w:pPr>
        <w:pStyle w:val="Articalhistory"/>
        <w:ind w:firstLine="720"/>
      </w:pPr>
      <w:r w:rsidRPr="004457AB">
        <w:t xml:space="preserve">The mean ± standard deviation of serum sex hormone levels in PCOS patients </w:t>
      </w:r>
      <w:r w:rsidR="00FF1236">
        <w:t>i</w:t>
      </w:r>
      <w:r w:rsidRPr="004457AB">
        <w:t>s shown</w:t>
      </w:r>
      <w:r w:rsidR="009F7112">
        <w:t xml:space="preserve"> </w:t>
      </w:r>
      <w:r w:rsidRPr="004457AB">
        <w:t>in Table 2 in comparison with the control group. The results demonstrated a significant (P&lt;0.01) rise in the serum levels of sex hormones, including LH and FSH</w:t>
      </w:r>
      <w:r w:rsidR="00FF1236">
        <w:t>,</w:t>
      </w:r>
      <w:r w:rsidRPr="004457AB">
        <w:t xml:space="preserve"> besides serum PRL.</w:t>
      </w:r>
    </w:p>
    <w:p w14:paraId="58098EA7" w14:textId="77777777" w:rsidR="001E0D38" w:rsidRPr="004457AB" w:rsidRDefault="001E0D38" w:rsidP="004917A0">
      <w:pPr>
        <w:pStyle w:val="Articalhistory"/>
        <w:rPr>
          <w:b/>
          <w:bCs/>
        </w:rPr>
      </w:pPr>
    </w:p>
    <w:p w14:paraId="6B4E97AC" w14:textId="650DC135" w:rsidR="004917A0" w:rsidRPr="0021542B" w:rsidRDefault="004917A0" w:rsidP="0021542B">
      <w:pPr>
        <w:pStyle w:val="Articalhistory"/>
        <w:jc w:val="left"/>
      </w:pPr>
      <w:r w:rsidRPr="004457AB">
        <w:rPr>
          <w:b/>
          <w:bCs/>
        </w:rPr>
        <w:t xml:space="preserve">Table 2: </w:t>
      </w:r>
      <w:r w:rsidRPr="0021542B">
        <w:t>Comparison of the mean ± SD of serum sex hormones (LH, FSH</w:t>
      </w:r>
      <w:r w:rsidR="00FF1236">
        <w:t>,</w:t>
      </w:r>
      <w:r w:rsidRPr="0021542B">
        <w:t xml:space="preserve"> and PRL) between PCOS subjects and </w:t>
      </w:r>
      <w:r w:rsidR="00FF1236">
        <w:t xml:space="preserve">the </w:t>
      </w:r>
      <w:r w:rsidRPr="0021542B">
        <w:t>control group.</w:t>
      </w:r>
    </w:p>
    <w:p w14:paraId="411D9181" w14:textId="031739FF" w:rsidR="004917A0" w:rsidRPr="0021542B" w:rsidRDefault="004917A0" w:rsidP="0021542B">
      <w:pPr>
        <w:pStyle w:val="Articalhistory"/>
        <w:jc w:val="left"/>
      </w:pPr>
    </w:p>
    <w:tbl>
      <w:tblPr>
        <w:tblStyle w:val="TableGridLight"/>
        <w:tblW w:w="7088" w:type="dxa"/>
        <w:jc w:val="center"/>
        <w:tblLook w:val="04A0" w:firstRow="1" w:lastRow="0" w:firstColumn="1" w:lastColumn="0" w:noHBand="0" w:noVBand="1"/>
      </w:tblPr>
      <w:tblGrid>
        <w:gridCol w:w="1560"/>
        <w:gridCol w:w="538"/>
        <w:gridCol w:w="1446"/>
        <w:gridCol w:w="1276"/>
        <w:gridCol w:w="1276"/>
        <w:gridCol w:w="992"/>
      </w:tblGrid>
      <w:tr w:rsidR="004917A0" w:rsidRPr="001E0D38" w14:paraId="5B1B2C13" w14:textId="77777777" w:rsidTr="00BB31D6">
        <w:trPr>
          <w:trHeight w:val="605"/>
          <w:jc w:val="center"/>
        </w:trPr>
        <w:tc>
          <w:tcPr>
            <w:tcW w:w="1560" w:type="dxa"/>
            <w:hideMark/>
          </w:tcPr>
          <w:p w14:paraId="2663CA9F" w14:textId="77777777" w:rsidR="004917A0" w:rsidRPr="001E0D38" w:rsidRDefault="004917A0" w:rsidP="001E0D38">
            <w:pPr>
              <w:pStyle w:val="Articalhistory"/>
              <w:spacing w:before="240"/>
              <w:jc w:val="center"/>
              <w:rPr>
                <w:b/>
                <w:bCs/>
                <w:sz w:val="20"/>
                <w:szCs w:val="40"/>
              </w:rPr>
            </w:pPr>
            <w:r w:rsidRPr="001E0D38">
              <w:rPr>
                <w:b/>
                <w:bCs/>
                <w:sz w:val="20"/>
                <w:szCs w:val="40"/>
              </w:rPr>
              <w:t>Study group</w:t>
            </w:r>
          </w:p>
        </w:tc>
        <w:tc>
          <w:tcPr>
            <w:tcW w:w="538" w:type="dxa"/>
            <w:hideMark/>
          </w:tcPr>
          <w:p w14:paraId="5D60F78C" w14:textId="77777777" w:rsidR="004917A0" w:rsidRPr="001E0D38" w:rsidRDefault="004917A0" w:rsidP="001E0D38">
            <w:pPr>
              <w:pStyle w:val="Articalhistory"/>
              <w:spacing w:before="240"/>
              <w:jc w:val="center"/>
              <w:rPr>
                <w:b/>
                <w:bCs/>
                <w:sz w:val="20"/>
                <w:szCs w:val="40"/>
              </w:rPr>
            </w:pPr>
            <w:r w:rsidRPr="001E0D38">
              <w:rPr>
                <w:b/>
                <w:bCs/>
                <w:sz w:val="20"/>
                <w:szCs w:val="40"/>
              </w:rPr>
              <w:t>No.</w:t>
            </w:r>
          </w:p>
        </w:tc>
        <w:tc>
          <w:tcPr>
            <w:tcW w:w="1446" w:type="dxa"/>
            <w:hideMark/>
          </w:tcPr>
          <w:p w14:paraId="6C05A221" w14:textId="77777777" w:rsidR="004917A0" w:rsidRPr="001E0D38" w:rsidRDefault="004917A0" w:rsidP="001E0D38">
            <w:pPr>
              <w:pStyle w:val="Articalhistory"/>
              <w:bidi/>
              <w:jc w:val="center"/>
              <w:rPr>
                <w:b/>
                <w:bCs/>
                <w:sz w:val="20"/>
                <w:szCs w:val="40"/>
              </w:rPr>
            </w:pPr>
            <w:r w:rsidRPr="001E0D38">
              <w:rPr>
                <w:b/>
                <w:bCs/>
                <w:sz w:val="20"/>
                <w:szCs w:val="40"/>
              </w:rPr>
              <w:t>FSH</w:t>
            </w:r>
          </w:p>
          <w:p w14:paraId="2F29B7E3" w14:textId="77777777" w:rsidR="004917A0" w:rsidRPr="001E0D38" w:rsidRDefault="004917A0" w:rsidP="001E0D38">
            <w:pPr>
              <w:pStyle w:val="Articalhistory"/>
              <w:bidi/>
              <w:jc w:val="center"/>
              <w:rPr>
                <w:b/>
                <w:bCs/>
                <w:sz w:val="20"/>
                <w:szCs w:val="40"/>
              </w:rPr>
            </w:pPr>
            <w:r w:rsidRPr="001E0D38">
              <w:rPr>
                <w:b/>
                <w:bCs/>
                <w:sz w:val="20"/>
                <w:szCs w:val="40"/>
              </w:rPr>
              <w:t>Mean ± SD</w:t>
            </w:r>
          </w:p>
          <w:p w14:paraId="6E804884" w14:textId="77777777" w:rsidR="004917A0" w:rsidRPr="001E0D38" w:rsidRDefault="004917A0" w:rsidP="001E0D38">
            <w:pPr>
              <w:pStyle w:val="Articalhistory"/>
              <w:jc w:val="center"/>
              <w:rPr>
                <w:b/>
                <w:bCs/>
                <w:sz w:val="20"/>
                <w:szCs w:val="40"/>
              </w:rPr>
            </w:pPr>
            <w:r w:rsidRPr="001E0D38">
              <w:rPr>
                <w:b/>
                <w:bCs/>
                <w:sz w:val="20"/>
                <w:szCs w:val="40"/>
              </w:rPr>
              <w:t>IU/L</w:t>
            </w:r>
          </w:p>
        </w:tc>
        <w:tc>
          <w:tcPr>
            <w:tcW w:w="1276" w:type="dxa"/>
          </w:tcPr>
          <w:p w14:paraId="4A6AF3FA" w14:textId="77777777" w:rsidR="004917A0" w:rsidRPr="001E0D38" w:rsidRDefault="004917A0" w:rsidP="001E0D38">
            <w:pPr>
              <w:pStyle w:val="Articalhistory"/>
              <w:bidi/>
              <w:jc w:val="center"/>
              <w:rPr>
                <w:b/>
                <w:bCs/>
                <w:sz w:val="20"/>
                <w:szCs w:val="40"/>
              </w:rPr>
            </w:pPr>
            <w:r w:rsidRPr="001E0D38">
              <w:rPr>
                <w:b/>
                <w:bCs/>
                <w:sz w:val="20"/>
                <w:szCs w:val="40"/>
              </w:rPr>
              <w:t>LH</w:t>
            </w:r>
          </w:p>
          <w:p w14:paraId="041E99C3" w14:textId="77777777" w:rsidR="004917A0" w:rsidRPr="001E0D38" w:rsidRDefault="004917A0" w:rsidP="001E0D38">
            <w:pPr>
              <w:pStyle w:val="Articalhistory"/>
              <w:bidi/>
              <w:jc w:val="center"/>
              <w:rPr>
                <w:b/>
                <w:bCs/>
                <w:sz w:val="20"/>
                <w:szCs w:val="40"/>
              </w:rPr>
            </w:pPr>
            <w:r w:rsidRPr="001E0D38">
              <w:rPr>
                <w:b/>
                <w:bCs/>
                <w:sz w:val="20"/>
                <w:szCs w:val="40"/>
              </w:rPr>
              <w:t>Mean ± SD</w:t>
            </w:r>
          </w:p>
          <w:p w14:paraId="24FD7C72" w14:textId="77777777" w:rsidR="004917A0" w:rsidRPr="001E0D38" w:rsidRDefault="004917A0" w:rsidP="001E0D38">
            <w:pPr>
              <w:pStyle w:val="Articalhistory"/>
              <w:jc w:val="center"/>
              <w:rPr>
                <w:b/>
                <w:bCs/>
                <w:sz w:val="20"/>
                <w:szCs w:val="40"/>
              </w:rPr>
            </w:pPr>
            <w:r w:rsidRPr="001E0D38">
              <w:rPr>
                <w:b/>
                <w:bCs/>
                <w:sz w:val="20"/>
                <w:szCs w:val="40"/>
              </w:rPr>
              <w:t>IU/L</w:t>
            </w:r>
          </w:p>
        </w:tc>
        <w:tc>
          <w:tcPr>
            <w:tcW w:w="1276" w:type="dxa"/>
          </w:tcPr>
          <w:p w14:paraId="2B9BFA81" w14:textId="77777777" w:rsidR="004917A0" w:rsidRPr="001E0D38" w:rsidRDefault="004917A0" w:rsidP="001E0D38">
            <w:pPr>
              <w:pStyle w:val="Articalhistory"/>
              <w:bidi/>
              <w:jc w:val="center"/>
              <w:rPr>
                <w:b/>
                <w:bCs/>
                <w:sz w:val="20"/>
                <w:szCs w:val="40"/>
              </w:rPr>
            </w:pPr>
            <w:r w:rsidRPr="001E0D38">
              <w:rPr>
                <w:b/>
                <w:bCs/>
                <w:sz w:val="20"/>
                <w:szCs w:val="40"/>
              </w:rPr>
              <w:t>PRL</w:t>
            </w:r>
          </w:p>
          <w:p w14:paraId="19E5FF95" w14:textId="77777777" w:rsidR="004917A0" w:rsidRPr="001E0D38" w:rsidRDefault="004917A0" w:rsidP="001E0D38">
            <w:pPr>
              <w:pStyle w:val="Articalhistory"/>
              <w:bidi/>
              <w:jc w:val="center"/>
              <w:rPr>
                <w:b/>
                <w:bCs/>
                <w:sz w:val="20"/>
                <w:szCs w:val="40"/>
              </w:rPr>
            </w:pPr>
            <w:r w:rsidRPr="001E0D38">
              <w:rPr>
                <w:b/>
                <w:bCs/>
                <w:sz w:val="20"/>
                <w:szCs w:val="40"/>
              </w:rPr>
              <w:t>Mean ± SD</w:t>
            </w:r>
          </w:p>
          <w:p w14:paraId="278AAD01" w14:textId="77777777" w:rsidR="004917A0" w:rsidRPr="001E0D38" w:rsidRDefault="004917A0" w:rsidP="001E0D38">
            <w:pPr>
              <w:pStyle w:val="Articalhistory"/>
              <w:jc w:val="center"/>
              <w:rPr>
                <w:b/>
                <w:bCs/>
                <w:sz w:val="20"/>
                <w:szCs w:val="40"/>
              </w:rPr>
            </w:pPr>
            <w:r w:rsidRPr="001E0D38">
              <w:rPr>
                <w:b/>
                <w:bCs/>
                <w:sz w:val="20"/>
                <w:szCs w:val="40"/>
              </w:rPr>
              <w:t>ng/mL</w:t>
            </w:r>
          </w:p>
        </w:tc>
        <w:tc>
          <w:tcPr>
            <w:tcW w:w="992" w:type="dxa"/>
            <w:hideMark/>
          </w:tcPr>
          <w:p w14:paraId="0E1BC9D8" w14:textId="77777777" w:rsidR="004917A0" w:rsidRPr="001E0D38" w:rsidRDefault="004917A0" w:rsidP="001E0D38">
            <w:pPr>
              <w:pStyle w:val="Articalhistory"/>
              <w:bidi/>
              <w:jc w:val="center"/>
              <w:rPr>
                <w:b/>
                <w:bCs/>
                <w:sz w:val="20"/>
                <w:szCs w:val="40"/>
              </w:rPr>
            </w:pPr>
            <w:r w:rsidRPr="001E0D38">
              <w:rPr>
                <w:b/>
                <w:bCs/>
                <w:sz w:val="20"/>
                <w:szCs w:val="40"/>
              </w:rPr>
              <w:t>P. value</w:t>
            </w:r>
          </w:p>
        </w:tc>
      </w:tr>
      <w:tr w:rsidR="004917A0" w:rsidRPr="001E0D38" w14:paraId="2E98AE34" w14:textId="77777777" w:rsidTr="00BB31D6">
        <w:trPr>
          <w:trHeight w:val="378"/>
          <w:jc w:val="center"/>
        </w:trPr>
        <w:tc>
          <w:tcPr>
            <w:tcW w:w="1560" w:type="dxa"/>
            <w:hideMark/>
          </w:tcPr>
          <w:p w14:paraId="3C76AF1E" w14:textId="77777777" w:rsidR="004917A0" w:rsidRPr="001E0D38" w:rsidRDefault="004917A0" w:rsidP="001E0D38">
            <w:pPr>
              <w:pStyle w:val="Articalhistory"/>
              <w:jc w:val="left"/>
              <w:rPr>
                <w:b/>
                <w:bCs/>
                <w:sz w:val="20"/>
                <w:szCs w:val="40"/>
              </w:rPr>
            </w:pPr>
            <w:r w:rsidRPr="001E0D38">
              <w:rPr>
                <w:b/>
                <w:bCs/>
                <w:sz w:val="20"/>
                <w:szCs w:val="40"/>
              </w:rPr>
              <w:t>PCOS group</w:t>
            </w:r>
          </w:p>
        </w:tc>
        <w:tc>
          <w:tcPr>
            <w:tcW w:w="538" w:type="dxa"/>
            <w:hideMark/>
          </w:tcPr>
          <w:p w14:paraId="3028E00D" w14:textId="77777777" w:rsidR="004917A0" w:rsidRPr="001E0D38" w:rsidRDefault="004917A0" w:rsidP="001E0D38">
            <w:pPr>
              <w:pStyle w:val="Articalhistory"/>
              <w:jc w:val="center"/>
              <w:rPr>
                <w:sz w:val="20"/>
                <w:szCs w:val="40"/>
              </w:rPr>
            </w:pPr>
            <w:r w:rsidRPr="001E0D38">
              <w:rPr>
                <w:sz w:val="20"/>
                <w:szCs w:val="40"/>
              </w:rPr>
              <w:t>100</w:t>
            </w:r>
          </w:p>
        </w:tc>
        <w:tc>
          <w:tcPr>
            <w:tcW w:w="1446" w:type="dxa"/>
            <w:hideMark/>
          </w:tcPr>
          <w:p w14:paraId="2B281782" w14:textId="77777777" w:rsidR="004917A0" w:rsidRPr="001E0D38" w:rsidRDefault="004917A0" w:rsidP="001E0D38">
            <w:pPr>
              <w:pStyle w:val="Articalhistory"/>
              <w:jc w:val="center"/>
              <w:rPr>
                <w:sz w:val="20"/>
                <w:szCs w:val="40"/>
              </w:rPr>
            </w:pPr>
            <w:r w:rsidRPr="001E0D38">
              <w:rPr>
                <w:sz w:val="20"/>
                <w:szCs w:val="40"/>
              </w:rPr>
              <w:t>11.32 ±0.67</w:t>
            </w:r>
          </w:p>
        </w:tc>
        <w:tc>
          <w:tcPr>
            <w:tcW w:w="1276" w:type="dxa"/>
          </w:tcPr>
          <w:p w14:paraId="3C1AA653" w14:textId="77777777" w:rsidR="004917A0" w:rsidRPr="001E0D38" w:rsidRDefault="004917A0" w:rsidP="001E0D38">
            <w:pPr>
              <w:pStyle w:val="Articalhistory"/>
              <w:jc w:val="center"/>
              <w:rPr>
                <w:sz w:val="20"/>
                <w:szCs w:val="40"/>
              </w:rPr>
            </w:pPr>
            <w:r w:rsidRPr="001E0D38">
              <w:rPr>
                <w:sz w:val="20"/>
                <w:szCs w:val="40"/>
              </w:rPr>
              <w:t>15.7±2.7</w:t>
            </w:r>
          </w:p>
        </w:tc>
        <w:tc>
          <w:tcPr>
            <w:tcW w:w="1276" w:type="dxa"/>
          </w:tcPr>
          <w:p w14:paraId="656B9EA8" w14:textId="77777777" w:rsidR="004917A0" w:rsidRPr="001E0D38" w:rsidRDefault="004917A0" w:rsidP="001E0D38">
            <w:pPr>
              <w:pStyle w:val="Articalhistory"/>
              <w:jc w:val="center"/>
              <w:rPr>
                <w:sz w:val="20"/>
                <w:szCs w:val="40"/>
              </w:rPr>
            </w:pPr>
            <w:r w:rsidRPr="001E0D38">
              <w:rPr>
                <w:sz w:val="20"/>
                <w:szCs w:val="40"/>
              </w:rPr>
              <w:t>18.1±2.4</w:t>
            </w:r>
          </w:p>
        </w:tc>
        <w:tc>
          <w:tcPr>
            <w:tcW w:w="992" w:type="dxa"/>
            <w:vMerge w:val="restart"/>
            <w:hideMark/>
          </w:tcPr>
          <w:p w14:paraId="6CB2916F" w14:textId="77777777" w:rsidR="004917A0" w:rsidRPr="001E0D38" w:rsidRDefault="004917A0" w:rsidP="001E0D38">
            <w:pPr>
              <w:pStyle w:val="Articalhistory"/>
              <w:jc w:val="right"/>
              <w:rPr>
                <w:b/>
                <w:bCs/>
                <w:sz w:val="20"/>
                <w:szCs w:val="40"/>
              </w:rPr>
            </w:pPr>
          </w:p>
          <w:p w14:paraId="19823993" w14:textId="77777777" w:rsidR="004917A0" w:rsidRPr="001E0D38" w:rsidRDefault="004917A0" w:rsidP="001E0D38">
            <w:pPr>
              <w:pStyle w:val="Articalhistory"/>
              <w:jc w:val="right"/>
              <w:rPr>
                <w:sz w:val="20"/>
                <w:szCs w:val="40"/>
              </w:rPr>
            </w:pPr>
          </w:p>
          <w:p w14:paraId="33E785C2" w14:textId="01B286D8" w:rsidR="004917A0" w:rsidRPr="001E0D38" w:rsidRDefault="004917A0" w:rsidP="001E0D38">
            <w:pPr>
              <w:pStyle w:val="Articalhistory"/>
              <w:jc w:val="center"/>
              <w:rPr>
                <w:sz w:val="20"/>
                <w:szCs w:val="40"/>
              </w:rPr>
            </w:pPr>
            <w:r w:rsidRPr="001E0D38">
              <w:rPr>
                <w:sz w:val="20"/>
                <w:szCs w:val="40"/>
              </w:rPr>
              <w:t>P&lt;0.01</w:t>
            </w:r>
          </w:p>
          <w:p w14:paraId="540336A5" w14:textId="77777777" w:rsidR="004917A0" w:rsidRPr="001E0D38" w:rsidRDefault="004917A0" w:rsidP="001E0D38">
            <w:pPr>
              <w:pStyle w:val="Articalhistory"/>
              <w:bidi/>
              <w:jc w:val="center"/>
              <w:rPr>
                <w:sz w:val="20"/>
                <w:szCs w:val="40"/>
              </w:rPr>
            </w:pPr>
          </w:p>
          <w:p w14:paraId="1A54499C" w14:textId="77777777" w:rsidR="004917A0" w:rsidRPr="001E0D38" w:rsidRDefault="004917A0" w:rsidP="001E0D38">
            <w:pPr>
              <w:pStyle w:val="Articalhistory"/>
              <w:bidi/>
              <w:jc w:val="right"/>
              <w:rPr>
                <w:sz w:val="20"/>
                <w:szCs w:val="40"/>
                <w:rtl/>
              </w:rPr>
            </w:pPr>
          </w:p>
        </w:tc>
      </w:tr>
      <w:tr w:rsidR="004917A0" w:rsidRPr="001E0D38" w14:paraId="50EC46EA" w14:textId="77777777" w:rsidTr="00BB31D6">
        <w:trPr>
          <w:trHeight w:val="512"/>
          <w:jc w:val="center"/>
        </w:trPr>
        <w:tc>
          <w:tcPr>
            <w:tcW w:w="1560" w:type="dxa"/>
            <w:hideMark/>
          </w:tcPr>
          <w:p w14:paraId="325FD423" w14:textId="77777777" w:rsidR="004917A0" w:rsidRPr="001E0D38" w:rsidRDefault="004917A0" w:rsidP="001E0D38">
            <w:pPr>
              <w:pStyle w:val="Articalhistory"/>
              <w:spacing w:before="240"/>
              <w:jc w:val="left"/>
              <w:rPr>
                <w:b/>
                <w:bCs/>
                <w:sz w:val="20"/>
                <w:szCs w:val="40"/>
              </w:rPr>
            </w:pPr>
            <w:r w:rsidRPr="001E0D38">
              <w:rPr>
                <w:b/>
                <w:bCs/>
                <w:sz w:val="20"/>
                <w:szCs w:val="40"/>
              </w:rPr>
              <w:t>Control group</w:t>
            </w:r>
          </w:p>
        </w:tc>
        <w:tc>
          <w:tcPr>
            <w:tcW w:w="538" w:type="dxa"/>
            <w:hideMark/>
          </w:tcPr>
          <w:p w14:paraId="215A14FD" w14:textId="77777777" w:rsidR="004917A0" w:rsidRPr="001E0D38" w:rsidRDefault="004917A0" w:rsidP="001E0D38">
            <w:pPr>
              <w:pStyle w:val="Articalhistory"/>
              <w:spacing w:before="240"/>
              <w:jc w:val="center"/>
              <w:rPr>
                <w:sz w:val="20"/>
                <w:szCs w:val="40"/>
              </w:rPr>
            </w:pPr>
            <w:r w:rsidRPr="001E0D38">
              <w:rPr>
                <w:sz w:val="20"/>
                <w:szCs w:val="40"/>
              </w:rPr>
              <w:t>40</w:t>
            </w:r>
          </w:p>
        </w:tc>
        <w:tc>
          <w:tcPr>
            <w:tcW w:w="1446" w:type="dxa"/>
            <w:hideMark/>
          </w:tcPr>
          <w:p w14:paraId="17E3F253" w14:textId="77777777" w:rsidR="004917A0" w:rsidRPr="001E0D38" w:rsidRDefault="004917A0" w:rsidP="001E0D38">
            <w:pPr>
              <w:pStyle w:val="Articalhistory"/>
              <w:spacing w:before="240"/>
              <w:jc w:val="center"/>
              <w:rPr>
                <w:sz w:val="20"/>
                <w:szCs w:val="40"/>
              </w:rPr>
            </w:pPr>
            <w:r w:rsidRPr="001E0D38">
              <w:rPr>
                <w:sz w:val="20"/>
                <w:szCs w:val="40"/>
              </w:rPr>
              <w:t>7.91±0.21</w:t>
            </w:r>
          </w:p>
        </w:tc>
        <w:tc>
          <w:tcPr>
            <w:tcW w:w="1276" w:type="dxa"/>
          </w:tcPr>
          <w:p w14:paraId="1ED40769" w14:textId="77777777" w:rsidR="004917A0" w:rsidRPr="001E0D38" w:rsidRDefault="004917A0" w:rsidP="001E0D38">
            <w:pPr>
              <w:pStyle w:val="Articalhistory"/>
              <w:spacing w:before="240"/>
              <w:jc w:val="center"/>
              <w:rPr>
                <w:sz w:val="20"/>
                <w:szCs w:val="40"/>
              </w:rPr>
            </w:pPr>
            <w:r w:rsidRPr="001E0D38">
              <w:rPr>
                <w:sz w:val="20"/>
                <w:szCs w:val="40"/>
              </w:rPr>
              <w:t>8.7±1.87</w:t>
            </w:r>
          </w:p>
        </w:tc>
        <w:tc>
          <w:tcPr>
            <w:tcW w:w="1276" w:type="dxa"/>
          </w:tcPr>
          <w:p w14:paraId="472D15E5" w14:textId="77777777" w:rsidR="004917A0" w:rsidRPr="001E0D38" w:rsidRDefault="004917A0" w:rsidP="001E0D38">
            <w:pPr>
              <w:pStyle w:val="Articalhistory"/>
              <w:spacing w:before="240"/>
              <w:jc w:val="center"/>
              <w:rPr>
                <w:sz w:val="20"/>
                <w:szCs w:val="40"/>
              </w:rPr>
            </w:pPr>
            <w:r w:rsidRPr="001E0D38">
              <w:rPr>
                <w:sz w:val="20"/>
                <w:szCs w:val="40"/>
              </w:rPr>
              <w:t>13.4±1.8</w:t>
            </w:r>
          </w:p>
        </w:tc>
        <w:tc>
          <w:tcPr>
            <w:tcW w:w="992" w:type="dxa"/>
            <w:vMerge/>
            <w:hideMark/>
          </w:tcPr>
          <w:p w14:paraId="27ADC85C" w14:textId="77777777" w:rsidR="004917A0" w:rsidRPr="001E0D38" w:rsidRDefault="004917A0" w:rsidP="001E0D38">
            <w:pPr>
              <w:pStyle w:val="Articalhistory"/>
              <w:bidi/>
              <w:spacing w:before="240"/>
              <w:jc w:val="right"/>
              <w:rPr>
                <w:sz w:val="20"/>
                <w:szCs w:val="40"/>
              </w:rPr>
            </w:pPr>
          </w:p>
        </w:tc>
      </w:tr>
    </w:tbl>
    <w:p w14:paraId="13696284" w14:textId="77777777" w:rsidR="004917A0" w:rsidRPr="004457AB" w:rsidRDefault="004917A0" w:rsidP="004917A0">
      <w:pPr>
        <w:pStyle w:val="Articalhistory"/>
      </w:pPr>
    </w:p>
    <w:p w14:paraId="4CF51DD2" w14:textId="3B68D721" w:rsidR="004917A0" w:rsidRPr="0021542B" w:rsidRDefault="004917A0" w:rsidP="00BB31D6">
      <w:pPr>
        <w:pStyle w:val="Articalhistory"/>
      </w:pPr>
      <w:r w:rsidRPr="004457AB">
        <w:rPr>
          <w:b/>
          <w:bCs/>
        </w:rPr>
        <w:t>Table 3:</w:t>
      </w:r>
      <w:r w:rsidR="001E0D38">
        <w:rPr>
          <w:b/>
          <w:bCs/>
        </w:rPr>
        <w:t xml:space="preserve"> </w:t>
      </w:r>
      <w:r w:rsidRPr="0021542B">
        <w:t>Multiple Regression Analysis of Potential Contributing Factors to Glypican4 and Sex Hormones.</w:t>
      </w:r>
    </w:p>
    <w:tbl>
      <w:tblPr>
        <w:tblStyle w:val="TableGrid"/>
        <w:tblW w:w="5807" w:type="dxa"/>
        <w:tblInd w:w="1608" w:type="dxa"/>
        <w:tblLook w:val="04A0" w:firstRow="1" w:lastRow="0" w:firstColumn="1" w:lastColumn="0" w:noHBand="0" w:noVBand="1"/>
      </w:tblPr>
      <w:tblGrid>
        <w:gridCol w:w="1838"/>
        <w:gridCol w:w="2552"/>
        <w:gridCol w:w="1417"/>
      </w:tblGrid>
      <w:tr w:rsidR="001E0D38" w:rsidRPr="001E0D38" w14:paraId="2B2B28B4" w14:textId="77777777" w:rsidTr="0021542B">
        <w:tc>
          <w:tcPr>
            <w:tcW w:w="1838" w:type="dxa"/>
          </w:tcPr>
          <w:p w14:paraId="7285E025" w14:textId="77777777" w:rsidR="004917A0" w:rsidRPr="001E0D38" w:rsidRDefault="004917A0" w:rsidP="004917A0">
            <w:pPr>
              <w:pStyle w:val="Articalhistory"/>
              <w:rPr>
                <w:b/>
                <w:bCs/>
                <w:sz w:val="20"/>
                <w:szCs w:val="40"/>
              </w:rPr>
            </w:pPr>
            <w:r w:rsidRPr="001E0D38">
              <w:rPr>
                <w:b/>
                <w:bCs/>
                <w:sz w:val="20"/>
                <w:szCs w:val="40"/>
              </w:rPr>
              <w:t>The Parameter</w:t>
            </w:r>
          </w:p>
        </w:tc>
        <w:tc>
          <w:tcPr>
            <w:tcW w:w="2552" w:type="dxa"/>
          </w:tcPr>
          <w:p w14:paraId="14F4EA00" w14:textId="77777777" w:rsidR="004917A0" w:rsidRPr="001E0D38" w:rsidRDefault="004917A0" w:rsidP="004917A0">
            <w:pPr>
              <w:pStyle w:val="Articalhistory"/>
              <w:rPr>
                <w:b/>
                <w:bCs/>
                <w:sz w:val="20"/>
                <w:szCs w:val="40"/>
              </w:rPr>
            </w:pPr>
            <w:r w:rsidRPr="001E0D38">
              <w:rPr>
                <w:b/>
                <w:bCs/>
                <w:sz w:val="20"/>
                <w:szCs w:val="40"/>
              </w:rPr>
              <w:t>Coefficient of regression</w:t>
            </w:r>
          </w:p>
        </w:tc>
        <w:tc>
          <w:tcPr>
            <w:tcW w:w="1417" w:type="dxa"/>
          </w:tcPr>
          <w:p w14:paraId="12C1AD89" w14:textId="0A5C609B" w:rsidR="004917A0" w:rsidRPr="001E0D38" w:rsidRDefault="004917A0" w:rsidP="004917A0">
            <w:pPr>
              <w:pStyle w:val="Articalhistory"/>
              <w:rPr>
                <w:b/>
                <w:bCs/>
                <w:sz w:val="20"/>
                <w:szCs w:val="40"/>
              </w:rPr>
            </w:pPr>
            <w:r w:rsidRPr="001E0D38">
              <w:rPr>
                <w:b/>
                <w:bCs/>
                <w:sz w:val="20"/>
                <w:szCs w:val="40"/>
              </w:rPr>
              <w:t>p</w:t>
            </w:r>
            <w:r w:rsidR="00FF1236">
              <w:rPr>
                <w:b/>
                <w:bCs/>
                <w:sz w:val="20"/>
                <w:szCs w:val="40"/>
              </w:rPr>
              <w:t>-</w:t>
            </w:r>
            <w:r w:rsidRPr="001E0D38">
              <w:rPr>
                <w:b/>
                <w:bCs/>
                <w:sz w:val="20"/>
                <w:szCs w:val="40"/>
              </w:rPr>
              <w:t>value</w:t>
            </w:r>
          </w:p>
        </w:tc>
      </w:tr>
      <w:tr w:rsidR="004917A0" w:rsidRPr="001E0D38" w14:paraId="548ADAF1" w14:textId="77777777" w:rsidTr="0021542B">
        <w:tc>
          <w:tcPr>
            <w:tcW w:w="1838" w:type="dxa"/>
            <w:shd w:val="clear" w:color="auto" w:fill="E7E6E6" w:themeFill="background2"/>
          </w:tcPr>
          <w:p w14:paraId="31C54341" w14:textId="77777777" w:rsidR="004917A0" w:rsidRPr="001E0D38" w:rsidRDefault="004917A0" w:rsidP="004917A0">
            <w:pPr>
              <w:pStyle w:val="Articalhistory"/>
              <w:rPr>
                <w:sz w:val="20"/>
                <w:szCs w:val="40"/>
              </w:rPr>
            </w:pPr>
            <w:r w:rsidRPr="001E0D38">
              <w:rPr>
                <w:sz w:val="20"/>
                <w:szCs w:val="40"/>
              </w:rPr>
              <w:t>FSH</w:t>
            </w:r>
          </w:p>
        </w:tc>
        <w:tc>
          <w:tcPr>
            <w:tcW w:w="2552" w:type="dxa"/>
          </w:tcPr>
          <w:p w14:paraId="77B1E17D" w14:textId="77777777" w:rsidR="004917A0" w:rsidRPr="001E0D38" w:rsidRDefault="004917A0" w:rsidP="001E0D38">
            <w:pPr>
              <w:pStyle w:val="Articalhistory"/>
              <w:jc w:val="center"/>
              <w:rPr>
                <w:sz w:val="20"/>
                <w:szCs w:val="40"/>
              </w:rPr>
            </w:pPr>
            <w:r w:rsidRPr="001E0D38">
              <w:rPr>
                <w:sz w:val="20"/>
                <w:szCs w:val="40"/>
              </w:rPr>
              <w:t>+0.179</w:t>
            </w:r>
          </w:p>
        </w:tc>
        <w:tc>
          <w:tcPr>
            <w:tcW w:w="1417" w:type="dxa"/>
          </w:tcPr>
          <w:p w14:paraId="7E24602F" w14:textId="77777777" w:rsidR="004917A0" w:rsidRPr="001E0D38" w:rsidRDefault="004917A0" w:rsidP="001E0D38">
            <w:pPr>
              <w:pStyle w:val="Articalhistory"/>
              <w:jc w:val="center"/>
              <w:rPr>
                <w:sz w:val="20"/>
                <w:szCs w:val="40"/>
              </w:rPr>
            </w:pPr>
            <w:r w:rsidRPr="001E0D38">
              <w:rPr>
                <w:sz w:val="20"/>
                <w:szCs w:val="40"/>
              </w:rPr>
              <w:t>0.248</w:t>
            </w:r>
          </w:p>
        </w:tc>
      </w:tr>
      <w:tr w:rsidR="004917A0" w:rsidRPr="001E0D38" w14:paraId="1D1CDE6D" w14:textId="77777777" w:rsidTr="0021542B">
        <w:tc>
          <w:tcPr>
            <w:tcW w:w="1838" w:type="dxa"/>
            <w:shd w:val="clear" w:color="auto" w:fill="E7E6E6" w:themeFill="background2"/>
          </w:tcPr>
          <w:p w14:paraId="6DFE30BB" w14:textId="77777777" w:rsidR="004917A0" w:rsidRPr="001E0D38" w:rsidRDefault="004917A0" w:rsidP="004917A0">
            <w:pPr>
              <w:pStyle w:val="Articalhistory"/>
              <w:rPr>
                <w:sz w:val="20"/>
                <w:szCs w:val="40"/>
              </w:rPr>
            </w:pPr>
            <w:r w:rsidRPr="001E0D38">
              <w:rPr>
                <w:sz w:val="20"/>
                <w:szCs w:val="40"/>
              </w:rPr>
              <w:t>LH</w:t>
            </w:r>
          </w:p>
        </w:tc>
        <w:tc>
          <w:tcPr>
            <w:tcW w:w="2552" w:type="dxa"/>
          </w:tcPr>
          <w:p w14:paraId="4BA06653" w14:textId="77777777" w:rsidR="004917A0" w:rsidRPr="001E0D38" w:rsidRDefault="004917A0" w:rsidP="001E0D38">
            <w:pPr>
              <w:pStyle w:val="Articalhistory"/>
              <w:jc w:val="center"/>
              <w:rPr>
                <w:sz w:val="20"/>
                <w:szCs w:val="40"/>
              </w:rPr>
            </w:pPr>
            <w:r w:rsidRPr="001E0D38">
              <w:rPr>
                <w:sz w:val="20"/>
                <w:szCs w:val="40"/>
              </w:rPr>
              <w:t>+0.048</w:t>
            </w:r>
          </w:p>
        </w:tc>
        <w:tc>
          <w:tcPr>
            <w:tcW w:w="1417" w:type="dxa"/>
          </w:tcPr>
          <w:p w14:paraId="638269AC" w14:textId="77777777" w:rsidR="004917A0" w:rsidRPr="001E0D38" w:rsidRDefault="004917A0" w:rsidP="001E0D38">
            <w:pPr>
              <w:pStyle w:val="Articalhistory"/>
              <w:jc w:val="center"/>
              <w:rPr>
                <w:sz w:val="20"/>
                <w:szCs w:val="40"/>
              </w:rPr>
            </w:pPr>
            <w:r w:rsidRPr="001E0D38">
              <w:rPr>
                <w:sz w:val="20"/>
                <w:szCs w:val="40"/>
              </w:rPr>
              <w:t>0.754</w:t>
            </w:r>
          </w:p>
        </w:tc>
      </w:tr>
      <w:tr w:rsidR="004917A0" w:rsidRPr="001E0D38" w14:paraId="408FA113" w14:textId="77777777" w:rsidTr="0021542B">
        <w:tc>
          <w:tcPr>
            <w:tcW w:w="1838" w:type="dxa"/>
            <w:shd w:val="clear" w:color="auto" w:fill="E7E6E6" w:themeFill="background2"/>
          </w:tcPr>
          <w:p w14:paraId="778DC77F" w14:textId="77777777" w:rsidR="004917A0" w:rsidRPr="001E0D38" w:rsidRDefault="004917A0" w:rsidP="004917A0">
            <w:pPr>
              <w:pStyle w:val="Articalhistory"/>
              <w:rPr>
                <w:sz w:val="20"/>
                <w:szCs w:val="40"/>
              </w:rPr>
            </w:pPr>
            <w:r w:rsidRPr="001E0D38">
              <w:rPr>
                <w:sz w:val="20"/>
                <w:szCs w:val="40"/>
              </w:rPr>
              <w:t>PRL</w:t>
            </w:r>
          </w:p>
        </w:tc>
        <w:tc>
          <w:tcPr>
            <w:tcW w:w="2552" w:type="dxa"/>
          </w:tcPr>
          <w:p w14:paraId="152B536B" w14:textId="77777777" w:rsidR="004917A0" w:rsidRPr="001E0D38" w:rsidRDefault="004917A0" w:rsidP="001E0D38">
            <w:pPr>
              <w:pStyle w:val="Articalhistory"/>
              <w:jc w:val="center"/>
              <w:rPr>
                <w:sz w:val="20"/>
                <w:szCs w:val="40"/>
              </w:rPr>
            </w:pPr>
            <w:r w:rsidRPr="001E0D38">
              <w:rPr>
                <w:sz w:val="20"/>
                <w:szCs w:val="40"/>
              </w:rPr>
              <w:t>0.148</w:t>
            </w:r>
          </w:p>
        </w:tc>
        <w:tc>
          <w:tcPr>
            <w:tcW w:w="1417" w:type="dxa"/>
          </w:tcPr>
          <w:p w14:paraId="3A2BE226" w14:textId="77777777" w:rsidR="004917A0" w:rsidRPr="001E0D38" w:rsidRDefault="004917A0" w:rsidP="001E0D38">
            <w:pPr>
              <w:pStyle w:val="Articalhistory"/>
              <w:jc w:val="center"/>
              <w:rPr>
                <w:sz w:val="20"/>
                <w:szCs w:val="40"/>
              </w:rPr>
            </w:pPr>
            <w:r w:rsidRPr="001E0D38">
              <w:rPr>
                <w:sz w:val="20"/>
                <w:szCs w:val="40"/>
              </w:rPr>
              <w:t>0.344</w:t>
            </w:r>
          </w:p>
        </w:tc>
      </w:tr>
    </w:tbl>
    <w:p w14:paraId="14C7E8D1" w14:textId="77777777" w:rsidR="002605F9" w:rsidRDefault="002605F9" w:rsidP="002605F9">
      <w:pPr>
        <w:pStyle w:val="NoSpacing"/>
      </w:pPr>
    </w:p>
    <w:p w14:paraId="543B68E6" w14:textId="77777777" w:rsidR="002605F9" w:rsidRDefault="002605F9" w:rsidP="000C0C42">
      <w:pPr>
        <w:pStyle w:val="NoSpacing"/>
        <w:rPr>
          <w:rFonts w:cstheme="majorBidi"/>
          <w:b/>
        </w:rPr>
      </w:pPr>
      <w:r w:rsidRPr="002605F9">
        <w:rPr>
          <w:rFonts w:cstheme="majorBidi"/>
          <w:b/>
        </w:rPr>
        <w:t xml:space="preserve">Discussion </w:t>
      </w:r>
    </w:p>
    <w:p w14:paraId="5A6E8C92" w14:textId="3FAE2222" w:rsidR="001E0D38" w:rsidRPr="004457AB" w:rsidRDefault="001E0D38" w:rsidP="000C0C42">
      <w:pPr>
        <w:pStyle w:val="Articalhistory"/>
        <w:ind w:firstLine="720"/>
        <w:rPr>
          <w:shd w:val="clear" w:color="auto" w:fill="FFFFFF"/>
        </w:rPr>
      </w:pPr>
      <w:r w:rsidRPr="004457AB">
        <w:t xml:space="preserve">A cell surface proteoglycan called glipican-4 is another newly identified adipokine that has direct interactions with the insulin receptor. Glipican-4 functions as an insulin sensitizer by binding to the insulin receptor and controlling insulin activation and the </w:t>
      </w:r>
      <w:proofErr w:type="spellStart"/>
      <w:r w:rsidRPr="004457AB">
        <w:t>signaling</w:t>
      </w:r>
      <w:proofErr w:type="spellEnd"/>
      <w:r w:rsidRPr="004457AB">
        <w:t xml:space="preserve"> that follows. According to in vitro research, insulin receptor activation decreases in tandem with glypican-4 levels. Circulating levels are linked to insulin sensitivity and correlate with BMI </w:t>
      </w:r>
      <w:r w:rsidRPr="009C2610">
        <w:rPr>
          <w:iCs/>
          <w:szCs w:val="56"/>
        </w:rPr>
        <w:t>[</w:t>
      </w:r>
      <w:r>
        <w:rPr>
          <w:iCs/>
          <w:szCs w:val="56"/>
        </w:rPr>
        <w:t>13</w:t>
      </w:r>
      <w:r w:rsidRPr="009C2610">
        <w:rPr>
          <w:iCs/>
          <w:szCs w:val="56"/>
        </w:rPr>
        <w:t>]</w:t>
      </w:r>
      <w:r w:rsidRPr="004457AB">
        <w:t>.</w:t>
      </w:r>
      <w:r>
        <w:t xml:space="preserve"> </w:t>
      </w:r>
      <w:r w:rsidRPr="004457AB">
        <w:t xml:space="preserve">According to Ning et al </w:t>
      </w:r>
      <w:r w:rsidRPr="009C2610">
        <w:rPr>
          <w:iCs/>
          <w:szCs w:val="56"/>
        </w:rPr>
        <w:t>[</w:t>
      </w:r>
      <w:r>
        <w:rPr>
          <w:iCs/>
          <w:szCs w:val="56"/>
        </w:rPr>
        <w:t>14</w:t>
      </w:r>
      <w:r w:rsidRPr="009C2610">
        <w:rPr>
          <w:iCs/>
          <w:szCs w:val="56"/>
        </w:rPr>
        <w:t>]</w:t>
      </w:r>
      <w:r w:rsidRPr="004457AB">
        <w:t>.</w:t>
      </w:r>
      <w:r>
        <w:t xml:space="preserve"> </w:t>
      </w:r>
      <w:r w:rsidRPr="004457AB">
        <w:t xml:space="preserve">PCO patients showed elevated serum glypican-4 levels. In line with the results of the current investigation. Subjects with poor glucose tolerance had higher blood levels of glycocan-4, which are positively connected with the BMI and HOMA index. Furthermore, </w:t>
      </w:r>
      <w:proofErr w:type="spellStart"/>
      <w:r w:rsidRPr="004457AB">
        <w:t>Leelalertlauw</w:t>
      </w:r>
      <w:proofErr w:type="spellEnd"/>
      <w:r w:rsidRPr="004457AB">
        <w:t xml:space="preserve"> et al </w:t>
      </w:r>
      <w:r w:rsidRPr="009C2610">
        <w:rPr>
          <w:iCs/>
          <w:szCs w:val="56"/>
        </w:rPr>
        <w:t>[</w:t>
      </w:r>
      <w:r>
        <w:rPr>
          <w:iCs/>
          <w:szCs w:val="56"/>
        </w:rPr>
        <w:t>15</w:t>
      </w:r>
      <w:r w:rsidRPr="009C2610">
        <w:rPr>
          <w:iCs/>
          <w:szCs w:val="56"/>
        </w:rPr>
        <w:t>]</w:t>
      </w:r>
      <w:r w:rsidRPr="004457AB">
        <w:t>.</w:t>
      </w:r>
      <w:r>
        <w:t xml:space="preserve"> </w:t>
      </w:r>
      <w:r w:rsidR="00FF1236">
        <w:t>D</w:t>
      </w:r>
      <w:r w:rsidRPr="004457AB">
        <w:t xml:space="preserve">iscovered that glypican-4 levels were greater in obese individuals and increased with the degree of obesity. According to Yoo et al. (2016), women have higher amounts of glycocan-4 than males do. However, there is only one pilot study assessing the levels of glypican-4 in PCOS-afflicted women </w:t>
      </w:r>
      <w:r w:rsidRPr="009C2610">
        <w:rPr>
          <w:iCs/>
          <w:szCs w:val="56"/>
        </w:rPr>
        <w:t>[</w:t>
      </w:r>
      <w:r>
        <w:rPr>
          <w:iCs/>
          <w:szCs w:val="56"/>
        </w:rPr>
        <w:t>16</w:t>
      </w:r>
      <w:r w:rsidRPr="009C2610">
        <w:rPr>
          <w:iCs/>
          <w:szCs w:val="56"/>
        </w:rPr>
        <w:t>]</w:t>
      </w:r>
      <w:r w:rsidRPr="004457AB">
        <w:t>.</w:t>
      </w:r>
    </w:p>
    <w:p w14:paraId="5E13A6FC" w14:textId="0562AEC6" w:rsidR="001E0D38" w:rsidRPr="004457AB" w:rsidRDefault="001E0D38" w:rsidP="000C0C42">
      <w:pPr>
        <w:pStyle w:val="Articalhistory"/>
        <w:rPr>
          <w:shd w:val="clear" w:color="auto" w:fill="FFFFFF"/>
        </w:rPr>
      </w:pPr>
      <w:r w:rsidRPr="004457AB">
        <w:rPr>
          <w:shd w:val="clear" w:color="auto" w:fill="FFFFFF"/>
        </w:rPr>
        <w:t xml:space="preserve">        </w:t>
      </w:r>
      <w:r w:rsidRPr="004457AB">
        <w:t xml:space="preserve">A pilot investigation was carried out by </w:t>
      </w:r>
      <w:proofErr w:type="spellStart"/>
      <w:r w:rsidRPr="004457AB">
        <w:t>Jędrzejuk</w:t>
      </w:r>
      <w:proofErr w:type="spellEnd"/>
      <w:r w:rsidRPr="004457AB">
        <w:t xml:space="preserve"> et al </w:t>
      </w:r>
      <w:r w:rsidRPr="009C2610">
        <w:rPr>
          <w:iCs/>
          <w:szCs w:val="56"/>
        </w:rPr>
        <w:t>[</w:t>
      </w:r>
      <w:r>
        <w:rPr>
          <w:iCs/>
          <w:szCs w:val="56"/>
        </w:rPr>
        <w:t>17</w:t>
      </w:r>
      <w:r w:rsidRPr="009C2610">
        <w:rPr>
          <w:iCs/>
          <w:szCs w:val="56"/>
        </w:rPr>
        <w:t>]</w:t>
      </w:r>
      <w:r w:rsidRPr="004457AB">
        <w:t>.</w:t>
      </w:r>
      <w:r>
        <w:t xml:space="preserve"> </w:t>
      </w:r>
      <w:r w:rsidR="00FF1236">
        <w:t>T</w:t>
      </w:r>
      <w:r w:rsidRPr="004457AB">
        <w:t>o ascertain whether PCOS patients and glypican-4 are related. Even though the study participants had a low mean BMI of 22 kg/m2 and no lipid abnormalities, they concluded that women with PCOS had greater levels of glypican-4 than did controls, particularly in terms of fat distribution. Their findings showed a positive association with androgenic markers and metabolic measures</w:t>
      </w:r>
      <w:r w:rsidR="00FF1236">
        <w:t>,</w:t>
      </w:r>
      <w:r w:rsidRPr="004457AB">
        <w:t xml:space="preserve"> including insulin and HOMA-IR, which is similar to the results of </w:t>
      </w:r>
      <w:r w:rsidR="00FF1236">
        <w:t xml:space="preserve">the </w:t>
      </w:r>
      <w:r w:rsidRPr="004457AB">
        <w:t>current study.</w:t>
      </w:r>
    </w:p>
    <w:p w14:paraId="32FA0B9B" w14:textId="2A4C4B4D" w:rsidR="001E0D38" w:rsidRPr="004457AB" w:rsidRDefault="001E0D38" w:rsidP="00FE0836">
      <w:pPr>
        <w:pStyle w:val="Articalhistory"/>
        <w:ind w:firstLine="720"/>
      </w:pPr>
      <w:r w:rsidRPr="004457AB">
        <w:t xml:space="preserve">Multiple linear regression analysis revealed that BMI was an independent risk factor for glypican-4 levels, and the significant effect of PCOS on glypican-4 levels vanished in the univariate study </w:t>
      </w:r>
      <w:r w:rsidRPr="009C2610">
        <w:rPr>
          <w:iCs/>
          <w:szCs w:val="56"/>
        </w:rPr>
        <w:t>[</w:t>
      </w:r>
      <w:r>
        <w:rPr>
          <w:iCs/>
          <w:szCs w:val="56"/>
        </w:rPr>
        <w:t>18</w:t>
      </w:r>
      <w:r w:rsidRPr="009C2610">
        <w:rPr>
          <w:iCs/>
          <w:szCs w:val="56"/>
        </w:rPr>
        <w:t>]</w:t>
      </w:r>
      <w:r w:rsidRPr="004457AB">
        <w:t>.</w:t>
      </w:r>
      <w:r>
        <w:t xml:space="preserve"> </w:t>
      </w:r>
      <w:r w:rsidRPr="004457AB">
        <w:t xml:space="preserve">It is unclear how Glypican-4 functions in adipocytes, what its </w:t>
      </w:r>
      <w:proofErr w:type="spellStart"/>
      <w:r w:rsidRPr="004457AB">
        <w:t>signaling</w:t>
      </w:r>
      <w:proofErr w:type="spellEnd"/>
      <w:r w:rsidRPr="004457AB">
        <w:t xml:space="preserve"> actions are, and how it relates to metabolic regulation. Current study findings imply that glypican-4 levels may rise in individuals with insulin resistance in an effort to improve insulin sensitivity, assuming that glypican-4 functions as an agent that increases insulin sensitivity</w:t>
      </w:r>
      <w:r>
        <w:t xml:space="preserve"> </w:t>
      </w:r>
      <w:r w:rsidRPr="009C2610">
        <w:rPr>
          <w:iCs/>
          <w:szCs w:val="56"/>
        </w:rPr>
        <w:t>[</w:t>
      </w:r>
      <w:r>
        <w:rPr>
          <w:iCs/>
          <w:szCs w:val="56"/>
        </w:rPr>
        <w:t>19</w:t>
      </w:r>
      <w:r w:rsidRPr="009C2610">
        <w:rPr>
          <w:iCs/>
          <w:szCs w:val="56"/>
        </w:rPr>
        <w:t>]</w:t>
      </w:r>
      <w:r w:rsidRPr="004457AB">
        <w:t>.</w:t>
      </w:r>
      <w:r w:rsidR="009F7112">
        <w:t xml:space="preserve"> </w:t>
      </w:r>
      <w:r w:rsidRPr="004457AB">
        <w:t xml:space="preserve">Thus, glipican-4 agonists can be used as pharmaceuticals. Accordingly, </w:t>
      </w:r>
      <w:r w:rsidR="00FF1236">
        <w:t xml:space="preserve">the </w:t>
      </w:r>
      <w:r w:rsidRPr="004457AB">
        <w:t xml:space="preserve">present study data indicate that, in comparison to controls, women with PCOS exhibited lower levels of serum galanin and greater levels of glypican-4. While PCOS and BMI may be the best predictors of galanin levels, with decreasing and increasing effects, respectively, multivariate analysis revealed that BMI was the strongest predictor of glypican-4 levels, with an increasing effect </w:t>
      </w:r>
      <w:r w:rsidRPr="009C2610">
        <w:rPr>
          <w:iCs/>
          <w:szCs w:val="56"/>
        </w:rPr>
        <w:t>[</w:t>
      </w:r>
      <w:r>
        <w:rPr>
          <w:iCs/>
          <w:szCs w:val="56"/>
        </w:rPr>
        <w:t>20</w:t>
      </w:r>
      <w:r w:rsidRPr="009C2610">
        <w:rPr>
          <w:iCs/>
          <w:szCs w:val="56"/>
        </w:rPr>
        <w:t>]</w:t>
      </w:r>
      <w:r w:rsidRPr="004457AB">
        <w:t>.</w:t>
      </w:r>
    </w:p>
    <w:p w14:paraId="3D9C0F07" w14:textId="619F9E7C" w:rsidR="001E0D38" w:rsidRPr="004457AB" w:rsidRDefault="001E0D38" w:rsidP="00FE0836">
      <w:pPr>
        <w:pStyle w:val="Articalhistory"/>
        <w:ind w:firstLine="720"/>
      </w:pPr>
      <w:r w:rsidRPr="004457AB">
        <w:t>LH and FSH levels were</w:t>
      </w:r>
      <w:r>
        <w:t xml:space="preserve"> </w:t>
      </w:r>
      <w:r w:rsidRPr="004457AB">
        <w:t>significantly differ</w:t>
      </w:r>
      <w:r w:rsidR="00FF1236">
        <w:t>ent</w:t>
      </w:r>
      <w:r w:rsidRPr="004457AB">
        <w:t xml:space="preserve"> among the normal-weight groups and PCO women. The findings of a different study conducted in Iraq in 2023 by Mahmoud and </w:t>
      </w:r>
      <w:r w:rsidRPr="004457AB">
        <w:lastRenderedPageBreak/>
        <w:t xml:space="preserve">Saber, which showed that there was </w:t>
      </w:r>
      <w:r w:rsidR="00FF1236">
        <w:t xml:space="preserve">a </w:t>
      </w:r>
      <w:r w:rsidRPr="004457AB">
        <w:t xml:space="preserve">difference in the FSH levels of PCOS women, corroborated this </w:t>
      </w:r>
      <w:r w:rsidRPr="009C2610">
        <w:rPr>
          <w:iCs/>
          <w:szCs w:val="56"/>
        </w:rPr>
        <w:t>[</w:t>
      </w:r>
      <w:r>
        <w:rPr>
          <w:iCs/>
          <w:szCs w:val="56"/>
        </w:rPr>
        <w:t>21</w:t>
      </w:r>
      <w:r w:rsidRPr="009C2610">
        <w:rPr>
          <w:iCs/>
          <w:szCs w:val="56"/>
        </w:rPr>
        <w:t>]</w:t>
      </w:r>
      <w:r w:rsidRPr="004457AB">
        <w:t>.</w:t>
      </w:r>
      <w:r>
        <w:t xml:space="preserve"> </w:t>
      </w:r>
      <w:r w:rsidRPr="004457AB">
        <w:t xml:space="preserve">Comparable findings from a different study conducted in Turkey by Şahin et al. (2019) showed that PCOS patients with normal weight had little differences in LH and FSH levels </w:t>
      </w:r>
      <w:r w:rsidRPr="009C2610">
        <w:rPr>
          <w:iCs/>
          <w:szCs w:val="56"/>
        </w:rPr>
        <w:t>[</w:t>
      </w:r>
      <w:r>
        <w:rPr>
          <w:iCs/>
          <w:szCs w:val="56"/>
        </w:rPr>
        <w:t>22</w:t>
      </w:r>
      <w:r w:rsidRPr="009C2610">
        <w:rPr>
          <w:iCs/>
          <w:szCs w:val="56"/>
        </w:rPr>
        <w:t>]</w:t>
      </w:r>
      <w:r w:rsidRPr="004457AB">
        <w:t>.</w:t>
      </w:r>
    </w:p>
    <w:p w14:paraId="26F95197" w14:textId="438FE658" w:rsidR="001E0D38" w:rsidRPr="004457AB" w:rsidRDefault="001E0D38" w:rsidP="00FE0836">
      <w:pPr>
        <w:pStyle w:val="Articalhistory"/>
        <w:ind w:firstLine="720"/>
      </w:pPr>
      <w:proofErr w:type="spellStart"/>
      <w:r w:rsidRPr="004457AB">
        <w:t>Estradiol</w:t>
      </w:r>
      <w:proofErr w:type="spellEnd"/>
      <w:r w:rsidRPr="004457AB">
        <w:t xml:space="preserve">, the primary </w:t>
      </w:r>
      <w:proofErr w:type="spellStart"/>
      <w:r w:rsidRPr="004457AB">
        <w:t>estrogen</w:t>
      </w:r>
      <w:proofErr w:type="spellEnd"/>
      <w:r w:rsidRPr="004457AB">
        <w:t xml:space="preserve"> in human circulation, is primarily produced by the corpora lutea and ovarian follicle granulosa cells </w:t>
      </w:r>
      <w:r w:rsidRPr="009C2610">
        <w:rPr>
          <w:iCs/>
          <w:szCs w:val="56"/>
        </w:rPr>
        <w:t>[</w:t>
      </w:r>
      <w:r>
        <w:rPr>
          <w:iCs/>
          <w:szCs w:val="56"/>
        </w:rPr>
        <w:t>23</w:t>
      </w:r>
      <w:r w:rsidRPr="009C2610">
        <w:rPr>
          <w:iCs/>
          <w:szCs w:val="56"/>
        </w:rPr>
        <w:t>]</w:t>
      </w:r>
      <w:r w:rsidRPr="004457AB">
        <w:t>.</w:t>
      </w:r>
      <w:r>
        <w:t xml:space="preserve"> </w:t>
      </w:r>
      <w:r w:rsidRPr="004457AB">
        <w:t xml:space="preserve">Granulosa cells in PCOS also release comparatively little </w:t>
      </w:r>
      <w:proofErr w:type="spellStart"/>
      <w:r w:rsidRPr="004457AB">
        <w:t>estrogen</w:t>
      </w:r>
      <w:proofErr w:type="spellEnd"/>
      <w:r w:rsidRPr="004457AB">
        <w:t xml:space="preserve"> since they are unable to grow into follicles. Infertility in women with PCOS may be primarily caused by the failure to ovulate </w:t>
      </w:r>
      <w:r w:rsidRPr="009C2610">
        <w:rPr>
          <w:iCs/>
          <w:szCs w:val="56"/>
        </w:rPr>
        <w:t>[</w:t>
      </w:r>
      <w:r>
        <w:rPr>
          <w:iCs/>
          <w:szCs w:val="56"/>
        </w:rPr>
        <w:t>24</w:t>
      </w:r>
      <w:r w:rsidRPr="009C2610">
        <w:rPr>
          <w:iCs/>
          <w:szCs w:val="56"/>
        </w:rPr>
        <w:t>]</w:t>
      </w:r>
      <w:r w:rsidRPr="004457AB">
        <w:t>.</w:t>
      </w:r>
      <w:r>
        <w:t xml:space="preserve"> In PCOS, LH</w:t>
      </w:r>
      <w:r w:rsidRPr="004457AB">
        <w:t xml:space="preserve"> levels increase as a result of impaired GnRH </w:t>
      </w:r>
      <w:proofErr w:type="spellStart"/>
      <w:r w:rsidRPr="004457AB">
        <w:t>signaling</w:t>
      </w:r>
      <w:proofErr w:type="spellEnd"/>
      <w:r w:rsidRPr="004457AB">
        <w:t xml:space="preserve">. Therefore, the synthesis of androgens is stimulated by a high amount of LH </w:t>
      </w:r>
      <w:r w:rsidRPr="009C2610">
        <w:rPr>
          <w:iCs/>
          <w:szCs w:val="56"/>
        </w:rPr>
        <w:t>[</w:t>
      </w:r>
      <w:r>
        <w:rPr>
          <w:iCs/>
          <w:szCs w:val="56"/>
        </w:rPr>
        <w:t>25</w:t>
      </w:r>
      <w:r w:rsidRPr="009C2610">
        <w:rPr>
          <w:iCs/>
          <w:szCs w:val="56"/>
        </w:rPr>
        <w:t>]</w:t>
      </w:r>
      <w:r w:rsidRPr="004457AB">
        <w:t>.</w:t>
      </w:r>
      <w:r>
        <w:t xml:space="preserve"> </w:t>
      </w:r>
      <w:r w:rsidRPr="004457AB">
        <w:t xml:space="preserve">The increased androgen in the ovaries is exacerbated by a reduction in the conversion of testosterone to </w:t>
      </w:r>
      <w:proofErr w:type="spellStart"/>
      <w:r w:rsidRPr="004457AB">
        <w:t>estrog</w:t>
      </w:r>
      <w:r>
        <w:t>en</w:t>
      </w:r>
      <w:proofErr w:type="spellEnd"/>
      <w:r>
        <w:t xml:space="preserve"> when LH</w:t>
      </w:r>
      <w:r w:rsidRPr="004457AB">
        <w:t xml:space="preserve"> levels rise. A dr</w:t>
      </w:r>
      <w:r>
        <w:t>op in FSH</w:t>
      </w:r>
      <w:r w:rsidRPr="004457AB">
        <w:t xml:space="preserve"> could be one reason for this fall. When LH levels rise, FSH falls because of the negative feedback </w:t>
      </w:r>
      <w:r w:rsidRPr="009C2610">
        <w:rPr>
          <w:iCs/>
          <w:szCs w:val="56"/>
        </w:rPr>
        <w:t>[</w:t>
      </w:r>
      <w:r>
        <w:rPr>
          <w:iCs/>
          <w:szCs w:val="56"/>
        </w:rPr>
        <w:t>26</w:t>
      </w:r>
      <w:r w:rsidRPr="009C2610">
        <w:rPr>
          <w:iCs/>
          <w:szCs w:val="56"/>
        </w:rPr>
        <w:t>]</w:t>
      </w:r>
      <w:r w:rsidRPr="004457AB">
        <w:t>.</w:t>
      </w:r>
    </w:p>
    <w:p w14:paraId="53A5F56D" w14:textId="62706690" w:rsidR="001E0D38" w:rsidRDefault="001E0D38" w:rsidP="00851402">
      <w:pPr>
        <w:pStyle w:val="Articalhistory"/>
      </w:pPr>
      <w:r w:rsidRPr="004457AB">
        <w:t xml:space="preserve">         As FSH levels decline and LH activity takes control, androstenedione accumulates in PCOS. Up until the antral stage, this androstenedione promotes the follicles' growth </w:t>
      </w:r>
      <w:r w:rsidRPr="009C2610">
        <w:rPr>
          <w:iCs/>
          <w:szCs w:val="56"/>
        </w:rPr>
        <w:t>[</w:t>
      </w:r>
      <w:r>
        <w:rPr>
          <w:iCs/>
          <w:szCs w:val="56"/>
        </w:rPr>
        <w:t>27</w:t>
      </w:r>
      <w:r w:rsidRPr="009C2610">
        <w:rPr>
          <w:iCs/>
          <w:szCs w:val="56"/>
        </w:rPr>
        <w:t>]</w:t>
      </w:r>
      <w:r w:rsidRPr="004457AB">
        <w:t>.</w:t>
      </w:r>
      <w:r>
        <w:t xml:space="preserve"> </w:t>
      </w:r>
      <w:r w:rsidRPr="004457AB">
        <w:t xml:space="preserve">Because of the consistently elevated levels of androstenedione, many vesicular follicles in an ovary with PCOS suffer damage and finally stop growing </w:t>
      </w:r>
      <w:r w:rsidRPr="009C2610">
        <w:rPr>
          <w:iCs/>
          <w:szCs w:val="56"/>
        </w:rPr>
        <w:t>[</w:t>
      </w:r>
      <w:r>
        <w:rPr>
          <w:iCs/>
          <w:szCs w:val="56"/>
        </w:rPr>
        <w:t>28</w:t>
      </w:r>
      <w:r w:rsidRPr="009C2610">
        <w:rPr>
          <w:iCs/>
          <w:szCs w:val="56"/>
        </w:rPr>
        <w:t>]</w:t>
      </w:r>
      <w:r w:rsidRPr="004457AB">
        <w:t>.</w:t>
      </w:r>
      <w:r>
        <w:t xml:space="preserve"> </w:t>
      </w:r>
      <w:proofErr w:type="spellStart"/>
      <w:r w:rsidRPr="004457AB">
        <w:t>Estradiol</w:t>
      </w:r>
      <w:proofErr w:type="spellEnd"/>
      <w:r w:rsidRPr="004457AB">
        <w:t xml:space="preserve"> production may decline</w:t>
      </w:r>
      <w:r w:rsidR="00FF1236">
        <w:t>,</w:t>
      </w:r>
      <w:r w:rsidRPr="004457AB">
        <w:t xml:space="preserve"> and androgen production may rise as a result of decreased aromatase activity. According to some research, a reduction in aromatase activity may be one of the factors causing PCOS's follicular growth to stop and the ensuing anovulatory state</w:t>
      </w:r>
      <w:r>
        <w:t xml:space="preserve"> </w:t>
      </w:r>
      <w:r w:rsidRPr="009C2610">
        <w:rPr>
          <w:iCs/>
          <w:szCs w:val="56"/>
        </w:rPr>
        <w:t>[</w:t>
      </w:r>
      <w:r>
        <w:rPr>
          <w:iCs/>
          <w:szCs w:val="56"/>
        </w:rPr>
        <w:t>29</w:t>
      </w:r>
      <w:r w:rsidRPr="009C2610">
        <w:rPr>
          <w:iCs/>
          <w:szCs w:val="56"/>
        </w:rPr>
        <w:t>]</w:t>
      </w:r>
      <w:r w:rsidRPr="004457AB">
        <w:t>.</w:t>
      </w:r>
      <w:r>
        <w:t xml:space="preserve"> </w:t>
      </w:r>
      <w:r w:rsidRPr="004457AB">
        <w:t xml:space="preserve">Serum prolactin levels have been assessed in studies as a possible indicator of metabolic problems in PCOS </w:t>
      </w:r>
      <w:r w:rsidRPr="009C2610">
        <w:rPr>
          <w:iCs/>
          <w:szCs w:val="56"/>
        </w:rPr>
        <w:t>[</w:t>
      </w:r>
      <w:r>
        <w:rPr>
          <w:iCs/>
          <w:szCs w:val="56"/>
        </w:rPr>
        <w:t>30</w:t>
      </w:r>
      <w:r w:rsidRPr="009C2610">
        <w:rPr>
          <w:iCs/>
          <w:szCs w:val="56"/>
        </w:rPr>
        <w:t>]</w:t>
      </w:r>
      <w:r w:rsidRPr="004457AB">
        <w:t>.</w:t>
      </w:r>
      <w:r>
        <w:t xml:space="preserve"> </w:t>
      </w:r>
      <w:r w:rsidR="00FF1236">
        <w:t>The c</w:t>
      </w:r>
      <w:r w:rsidRPr="004457AB">
        <w:t>urrent study showed an inverse</w:t>
      </w:r>
      <w:r w:rsidR="000C0C42">
        <w:rPr>
          <w:rFonts w:hint="cs"/>
          <w:rtl/>
        </w:rPr>
        <w:t xml:space="preserve"> </w:t>
      </w:r>
      <w:r w:rsidRPr="004457AB">
        <w:t xml:space="preserve">relationship between prolactin and other metabolic risk factors. The current study findings stated that prolactin and age were negatively correlated. The physiological processes causing these age-related alterations in prolactin levels are largely unknown. Negative correlations of prolactin with BMI and WC were likewise in line with other studies on the relationship between prolactin and adiposity measures, such as hip circumference, waist-hip ratio, and BMI </w:t>
      </w:r>
      <w:r w:rsidRPr="009C2610">
        <w:rPr>
          <w:iCs/>
          <w:szCs w:val="56"/>
        </w:rPr>
        <w:t>[</w:t>
      </w:r>
      <w:r>
        <w:rPr>
          <w:iCs/>
          <w:szCs w:val="56"/>
        </w:rPr>
        <w:t>31</w:t>
      </w:r>
      <w:r w:rsidRPr="009C2610">
        <w:rPr>
          <w:iCs/>
          <w:szCs w:val="56"/>
        </w:rPr>
        <w:t>]</w:t>
      </w:r>
      <w:r w:rsidRPr="004457AB">
        <w:t>.</w:t>
      </w:r>
      <w:r>
        <w:t xml:space="preserve"> </w:t>
      </w:r>
      <w:r w:rsidRPr="004457AB">
        <w:t xml:space="preserve">Zhu et al </w:t>
      </w:r>
      <w:r w:rsidRPr="009C2610">
        <w:rPr>
          <w:iCs/>
          <w:szCs w:val="56"/>
        </w:rPr>
        <w:t>[</w:t>
      </w:r>
      <w:r>
        <w:rPr>
          <w:iCs/>
          <w:szCs w:val="56"/>
        </w:rPr>
        <w:t>32</w:t>
      </w:r>
      <w:r w:rsidRPr="009C2610">
        <w:rPr>
          <w:iCs/>
          <w:szCs w:val="56"/>
        </w:rPr>
        <w:t>]</w:t>
      </w:r>
      <w:r w:rsidRPr="004457AB">
        <w:t>.</w:t>
      </w:r>
      <w:r>
        <w:t xml:space="preserve"> </w:t>
      </w:r>
      <w:r w:rsidR="00FF1236">
        <w:t>D</w:t>
      </w:r>
      <w:r w:rsidRPr="004457AB">
        <w:t xml:space="preserve">iscovered a positive association between PCOS and prolactin, while Albu et al </w:t>
      </w:r>
      <w:r w:rsidRPr="009C2610">
        <w:rPr>
          <w:iCs/>
          <w:szCs w:val="56"/>
        </w:rPr>
        <w:t>[</w:t>
      </w:r>
      <w:r>
        <w:rPr>
          <w:iCs/>
          <w:szCs w:val="56"/>
        </w:rPr>
        <w:t>33</w:t>
      </w:r>
      <w:r w:rsidRPr="009C2610">
        <w:rPr>
          <w:iCs/>
          <w:szCs w:val="56"/>
        </w:rPr>
        <w:t>]</w:t>
      </w:r>
      <w:r w:rsidRPr="004457AB">
        <w:t>.</w:t>
      </w:r>
      <w:r>
        <w:t xml:space="preserve"> </w:t>
      </w:r>
      <w:r w:rsidR="00FF1236">
        <w:t>O</w:t>
      </w:r>
      <w:r w:rsidRPr="004457AB">
        <w:t>bserved a negative correlation regardless of age or BMI. Furthermore, study participants with metabolic syndrome and abdominal obesity had higher prolactin levels than those without these symptoms. A similar negative association was also noted by Albu et al., but it disappeared when potential confounders were considered.</w:t>
      </w:r>
    </w:p>
    <w:p w14:paraId="20C53755" w14:textId="13BA2815" w:rsidR="001E0D38" w:rsidRPr="00A91CB0" w:rsidRDefault="001E0D38" w:rsidP="00851402">
      <w:pPr>
        <w:pStyle w:val="Articalhistory"/>
        <w:ind w:firstLine="720"/>
      </w:pPr>
      <w:r>
        <w:t>Due to</w:t>
      </w:r>
      <w:r w:rsidRPr="00A91CB0">
        <w:t xml:space="preserve"> the sample </w:t>
      </w:r>
      <w:r w:rsidR="00FF1236">
        <w:t>being</w:t>
      </w:r>
      <w:r w:rsidRPr="00A91CB0">
        <w:t xml:space="preserve"> limited to a single geographic region and healthcare setting,</w:t>
      </w:r>
      <w:r>
        <w:t xml:space="preserve"> </w:t>
      </w:r>
      <w:r w:rsidR="00FF1236">
        <w:t xml:space="preserve">this </w:t>
      </w:r>
      <w:r w:rsidRPr="00A91CB0">
        <w:t>potentially limit</w:t>
      </w:r>
      <w:r w:rsidR="00FF1236">
        <w:t>s</w:t>
      </w:r>
      <w:r w:rsidRPr="00A91CB0">
        <w:t xml:space="preserve"> the generalizability of the results</w:t>
      </w:r>
      <w:r w:rsidR="00FF1236">
        <w:t>,</w:t>
      </w:r>
      <w:r>
        <w:t xml:space="preserve"> and this need</w:t>
      </w:r>
      <w:r w:rsidR="00FF1236">
        <w:t>s</w:t>
      </w:r>
      <w:r>
        <w:t xml:space="preserve"> further studies in other regions</w:t>
      </w:r>
      <w:r w:rsidRPr="00A91CB0">
        <w:t>. Important variables such as insulin</w:t>
      </w:r>
      <w:r>
        <w:t xml:space="preserve"> </w:t>
      </w:r>
      <w:r w:rsidRPr="00A91CB0">
        <w:t>resistance indices and genetic predisposition were not assessed and warrant consideration in</w:t>
      </w:r>
      <w:r>
        <w:t xml:space="preserve"> </w:t>
      </w:r>
      <w:r w:rsidRPr="00A91CB0">
        <w:t>future research.</w:t>
      </w:r>
    </w:p>
    <w:p w14:paraId="48E87E76" w14:textId="77777777" w:rsidR="001E0D38" w:rsidRPr="00851402" w:rsidRDefault="001E0D38" w:rsidP="001E0D38">
      <w:pPr>
        <w:pStyle w:val="Articalhistory"/>
        <w:rPr>
          <w:lang w:val="en-US"/>
        </w:rPr>
      </w:pPr>
      <w:r w:rsidRPr="00A91CB0">
        <w:t>Further molecular research is warranted to better understand the intracellular mechanisms</w:t>
      </w:r>
      <w:r>
        <w:t xml:space="preserve"> </w:t>
      </w:r>
      <w:r w:rsidRPr="00A91CB0">
        <w:t xml:space="preserve">and post-receptor </w:t>
      </w:r>
      <w:proofErr w:type="spellStart"/>
      <w:r w:rsidRPr="00A91CB0">
        <w:t>signaling</w:t>
      </w:r>
      <w:proofErr w:type="spellEnd"/>
      <w:r w:rsidRPr="00A91CB0">
        <w:t xml:space="preserve"> pathways associated with glypican-4 in PCOS. Additionally,</w:t>
      </w:r>
      <w:r>
        <w:t xml:space="preserve"> </w:t>
      </w:r>
      <w:r w:rsidRPr="00A91CB0">
        <w:t>investigating the role of glypican-4 and related adipokines in the pathophysiology of PCOS</w:t>
      </w:r>
    </w:p>
    <w:p w14:paraId="1A4852C1" w14:textId="77777777" w:rsidR="001E0D38" w:rsidRDefault="001E0D38" w:rsidP="001E0D38">
      <w:pPr>
        <w:pStyle w:val="Articalhistory"/>
        <w:rPr>
          <w:rtl/>
        </w:rPr>
      </w:pPr>
      <w:r w:rsidRPr="00A91CB0">
        <w:t>may provide insights into their potential use as diagnostic markers or therapeutic targets.</w:t>
      </w:r>
      <w:r>
        <w:t xml:space="preserve"> </w:t>
      </w:r>
      <w:r w:rsidRPr="00A91CB0">
        <w:t>Future studies should also explore whether these biomarkers can reliably reflect insulin</w:t>
      </w:r>
      <w:r>
        <w:t xml:space="preserve"> </w:t>
      </w:r>
      <w:r w:rsidRPr="00A91CB0">
        <w:t>sensitivity and predict cardiovascular and metabolic risks in women with PCOS.</w:t>
      </w:r>
    </w:p>
    <w:p w14:paraId="4DB4D1CB" w14:textId="77777777" w:rsidR="009173A4" w:rsidRDefault="009173A4" w:rsidP="000C0C42">
      <w:pPr>
        <w:pStyle w:val="NoSpacing"/>
        <w:rPr>
          <w:b/>
          <w:bCs/>
        </w:rPr>
      </w:pPr>
    </w:p>
    <w:p w14:paraId="5BB433B3" w14:textId="7F612AD3" w:rsidR="00717BCE" w:rsidRDefault="00717BCE" w:rsidP="000C0C42">
      <w:pPr>
        <w:pStyle w:val="NoSpacing"/>
        <w:rPr>
          <w:b/>
          <w:bCs/>
        </w:rPr>
      </w:pPr>
      <w:r>
        <w:rPr>
          <w:b/>
          <w:bCs/>
        </w:rPr>
        <w:t>Conclusion</w:t>
      </w:r>
    </w:p>
    <w:p w14:paraId="55F409C6" w14:textId="67A07841" w:rsidR="001E0D38" w:rsidRPr="00AB37E4" w:rsidRDefault="001E0D38" w:rsidP="000C0C42">
      <w:pPr>
        <w:pStyle w:val="Articalhistory"/>
        <w:spacing w:after="240"/>
        <w:ind w:firstLine="720"/>
      </w:pPr>
      <w:r w:rsidRPr="00AB37E4">
        <w:t xml:space="preserve">The present study </w:t>
      </w:r>
      <w:r>
        <w:t>conclud</w:t>
      </w:r>
      <w:r w:rsidRPr="00AB37E4">
        <w:t>ed that serum levels of human glypican-4 were significantly</w:t>
      </w:r>
      <w:r>
        <w:t xml:space="preserve"> </w:t>
      </w:r>
      <w:r w:rsidRPr="00AB37E4">
        <w:t>elevated in women with polycystic ovary syn</w:t>
      </w:r>
      <w:r>
        <w:t xml:space="preserve">drome (PCOS) compared to </w:t>
      </w:r>
      <w:r w:rsidR="00FF1236">
        <w:t xml:space="preserve">the </w:t>
      </w:r>
      <w:r>
        <w:t>control group</w:t>
      </w:r>
      <w:r w:rsidRPr="00AB37E4">
        <w:t>,</w:t>
      </w:r>
      <w:r>
        <w:t xml:space="preserve"> </w:t>
      </w:r>
      <w:r w:rsidRPr="00AB37E4">
        <w:t>indicating its potential role as a biomarker associated with metabolic alterations in PCOS.</w:t>
      </w:r>
    </w:p>
    <w:p w14:paraId="0E27DBB5" w14:textId="12325286" w:rsidR="001E0D38" w:rsidRPr="00B635C5" w:rsidRDefault="001E0D38" w:rsidP="009F7112">
      <w:pPr>
        <w:pStyle w:val="Articalhistory"/>
      </w:pPr>
      <w:r w:rsidRPr="00AB37E4">
        <w:lastRenderedPageBreak/>
        <w:t>Additionally, the findings revealed significant differences in the levels of key sex</w:t>
      </w:r>
      <w:r>
        <w:t xml:space="preserve"> hormones—including LH, FSH</w:t>
      </w:r>
      <w:r w:rsidRPr="00AB37E4">
        <w:t>, and</w:t>
      </w:r>
      <w:r>
        <w:rPr>
          <w:shd w:val="clear" w:color="auto" w:fill="FFFFFF"/>
        </w:rPr>
        <w:t xml:space="preserve"> </w:t>
      </w:r>
      <w:r w:rsidRPr="00AB37E4">
        <w:t>prolactin—further supporting the presence of hormonal dysregulation in women affected by</w:t>
      </w:r>
      <w:r>
        <w:t xml:space="preserve"> </w:t>
      </w:r>
      <w:r w:rsidRPr="00AB37E4">
        <w:t>PCOS.</w:t>
      </w:r>
      <w:r>
        <w:t xml:space="preserve"> </w:t>
      </w:r>
      <w:r w:rsidRPr="00B635C5">
        <w:t>As serum glypican-4 levels were significantly</w:t>
      </w:r>
      <w:r>
        <w:t xml:space="preserve"> </w:t>
      </w:r>
      <w:r w:rsidRPr="00B635C5">
        <w:t>elevated in women with PCOS, further molecular research on this topic is necessary since</w:t>
      </w:r>
    </w:p>
    <w:p w14:paraId="15937B76" w14:textId="7A5967C2" w:rsidR="001E0D38" w:rsidRDefault="00FF1236" w:rsidP="009F7112">
      <w:pPr>
        <w:pStyle w:val="Articalhistory"/>
      </w:pPr>
      <w:r>
        <w:t>T</w:t>
      </w:r>
      <w:r w:rsidR="001E0D38" w:rsidRPr="00B635C5">
        <w:t>he intracellular post-receptor activities following binding</w:t>
      </w:r>
      <w:r w:rsidR="001E0D38">
        <w:t xml:space="preserve"> </w:t>
      </w:r>
      <w:r w:rsidR="001E0D38" w:rsidRPr="00B635C5">
        <w:t>to the receptor are not fully</w:t>
      </w:r>
      <w:r w:rsidR="001E0D38">
        <w:t xml:space="preserve"> </w:t>
      </w:r>
      <w:r w:rsidR="001E0D38" w:rsidRPr="00B635C5">
        <w:t>known yet.</w:t>
      </w:r>
    </w:p>
    <w:p w14:paraId="503F3B8A" w14:textId="77777777" w:rsidR="009F7112" w:rsidRPr="009F7112" w:rsidRDefault="009F7112" w:rsidP="009F7112">
      <w:pPr>
        <w:pStyle w:val="Articalhistory"/>
      </w:pPr>
    </w:p>
    <w:p w14:paraId="1B050AEA" w14:textId="77777777" w:rsidR="002605F9" w:rsidRPr="002605F9" w:rsidRDefault="002605F9" w:rsidP="00031284">
      <w:pPr>
        <w:pStyle w:val="NoSpacing"/>
        <w:rPr>
          <w:b/>
          <w:bCs/>
        </w:rPr>
      </w:pPr>
      <w:r w:rsidRPr="002605F9">
        <w:rPr>
          <w:b/>
          <w:bCs/>
        </w:rPr>
        <w:t>Acknowledgment</w:t>
      </w:r>
    </w:p>
    <w:p w14:paraId="252848A7" w14:textId="47F699E5" w:rsidR="005729B1" w:rsidRDefault="005729B1" w:rsidP="00031284">
      <w:pPr>
        <w:pStyle w:val="Articalhistory"/>
        <w:spacing w:after="240"/>
        <w:ind w:firstLine="720"/>
      </w:pPr>
      <w:r w:rsidRPr="00AB37E4">
        <w:t>The author extends sincere appreciation to the clinics</w:t>
      </w:r>
      <w:r>
        <w:t xml:space="preserve"> </w:t>
      </w:r>
      <w:r w:rsidRPr="00AB37E4">
        <w:t>involved in facilitating data collection and to the staff of the Central Laboratory at Tikrit</w:t>
      </w:r>
      <w:r>
        <w:t xml:space="preserve"> </w:t>
      </w:r>
      <w:r w:rsidRPr="00AB37E4">
        <w:t>University and Kirkuk City Hospitals for their technical support and collaboration throughout</w:t>
      </w:r>
      <w:r>
        <w:t xml:space="preserve"> </w:t>
      </w:r>
      <w:r w:rsidRPr="00AB37E4">
        <w:t>the course of this study.</w:t>
      </w:r>
    </w:p>
    <w:p w14:paraId="7B78AF86" w14:textId="6DF00225" w:rsidR="002605F9" w:rsidRPr="002605F9" w:rsidRDefault="002605F9" w:rsidP="00031284">
      <w:pPr>
        <w:pStyle w:val="NoSpacing"/>
        <w:rPr>
          <w:b/>
          <w:bCs/>
        </w:rPr>
      </w:pPr>
      <w:r w:rsidRPr="002605F9">
        <w:rPr>
          <w:b/>
          <w:bCs/>
        </w:rPr>
        <w:t>Conflicted interest</w:t>
      </w:r>
    </w:p>
    <w:p w14:paraId="6B1E6454" w14:textId="24DCF2AF" w:rsidR="005729B1" w:rsidRPr="004457AB" w:rsidRDefault="005729B1" w:rsidP="00031284">
      <w:pPr>
        <w:pStyle w:val="Articalhistory"/>
        <w:spacing w:after="240"/>
        <w:ind w:firstLine="720"/>
      </w:pPr>
      <w:r w:rsidRPr="004457AB">
        <w:t>We declare that there is no conflict of interest in this manuscript.</w:t>
      </w:r>
    </w:p>
    <w:p w14:paraId="6BBAF3E0" w14:textId="15CCEA07" w:rsidR="00717BCE" w:rsidRPr="00450B7C" w:rsidRDefault="00717BCE" w:rsidP="00717BCE">
      <w:pPr>
        <w:pStyle w:val="NoSpacing"/>
        <w:rPr>
          <w:b/>
          <w:bCs/>
          <w:lang w:val="pt-BR"/>
        </w:rPr>
      </w:pPr>
      <w:r w:rsidRPr="00450B7C">
        <w:rPr>
          <w:b/>
          <w:bCs/>
          <w:lang w:val="pt-BR"/>
        </w:rPr>
        <w:t>References</w:t>
      </w:r>
    </w:p>
    <w:p w14:paraId="06A76B29" w14:textId="778DE479" w:rsidR="005729B1" w:rsidRPr="005729B1" w:rsidRDefault="005729B1" w:rsidP="00345372">
      <w:pPr>
        <w:shd w:val="clear" w:color="auto" w:fill="FFFFFF"/>
        <w:spacing w:after="0" w:line="240" w:lineRule="auto"/>
        <w:ind w:left="397" w:hanging="397"/>
        <w:contextualSpacing/>
        <w:jc w:val="both"/>
        <w:rPr>
          <w:rFonts w:asciiTheme="majorBidi" w:eastAsia="Times New Roman" w:hAnsiTheme="majorBidi" w:cstheme="majorBidi"/>
          <w:color w:val="auto"/>
          <w:sz w:val="24"/>
          <w:shd w:val="clear" w:color="auto" w:fill="FFFFFF"/>
        </w:rPr>
      </w:pPr>
      <w:r w:rsidRPr="00450B7C">
        <w:rPr>
          <w:rFonts w:asciiTheme="majorBidi" w:eastAsia="Times New Roman" w:hAnsiTheme="majorBidi" w:cstheme="majorBidi"/>
          <w:color w:val="auto"/>
          <w:sz w:val="24"/>
          <w:lang w:val="pt-BR"/>
        </w:rPr>
        <w:t>1.</w:t>
      </w:r>
      <w:r w:rsidRPr="00450B7C">
        <w:rPr>
          <w:rFonts w:asciiTheme="majorBidi" w:eastAsia="Times New Roman" w:hAnsiTheme="majorBidi" w:cstheme="majorBidi"/>
          <w:color w:val="auto"/>
          <w:sz w:val="24"/>
          <w:shd w:val="clear" w:color="auto" w:fill="FFFFFF"/>
          <w:lang w:val="pt-BR"/>
        </w:rPr>
        <w:t xml:space="preserve"> Saroja SR, et al. </w:t>
      </w:r>
      <w:r w:rsidRPr="005729B1">
        <w:rPr>
          <w:rFonts w:asciiTheme="majorBidi" w:eastAsia="Times New Roman" w:hAnsiTheme="majorBidi" w:cstheme="majorBidi"/>
          <w:color w:val="auto"/>
          <w:sz w:val="24"/>
          <w:shd w:val="clear" w:color="auto" w:fill="FFFFFF"/>
        </w:rPr>
        <w:t>"Astrocyte-secreted glypican-4 drives APOE4 dependent tau hyperphosphorylation." Proceedings of the National Academy of Sciences 2022; 119(34):1-12. e2108870119.</w:t>
      </w:r>
      <w:r w:rsidRPr="005729B1">
        <w:rPr>
          <w:rFonts w:asciiTheme="majorBidi" w:eastAsia="Times New Roman" w:hAnsiTheme="majorBidi" w:cstheme="majorBidi"/>
          <w:color w:val="auto"/>
          <w:sz w:val="24"/>
          <w:shd w:val="clear" w:color="auto" w:fill="FFFFFF"/>
          <w:rtl/>
        </w:rPr>
        <w:t>‏</w:t>
      </w:r>
      <w:r w:rsidR="00345372" w:rsidRPr="00345372">
        <w:rPr>
          <w:b/>
          <w:bCs/>
        </w:rPr>
        <w:t xml:space="preserve"> </w:t>
      </w:r>
      <w:r w:rsidR="00910042" w:rsidRPr="00F332EB">
        <w:rPr>
          <w:rFonts w:asciiTheme="majorBidi" w:hAnsiTheme="majorBidi" w:cstheme="majorBidi"/>
          <w:color w:val="4472C4" w:themeColor="accent1"/>
          <w:sz w:val="24"/>
          <w:u w:val="single"/>
        </w:rPr>
        <w:t>https://doi.org/</w:t>
      </w:r>
      <w:r w:rsidR="00345372" w:rsidRPr="00345372">
        <w:rPr>
          <w:rFonts w:asciiTheme="majorBidi" w:eastAsia="Times New Roman" w:hAnsiTheme="majorBidi" w:cstheme="majorBidi"/>
          <w:color w:val="4472C4" w:themeColor="accent1"/>
          <w:sz w:val="24"/>
          <w:u w:val="single"/>
          <w:shd w:val="clear" w:color="auto" w:fill="FFFFFF"/>
        </w:rPr>
        <w:t>10.1073/pnas.2108870119</w:t>
      </w:r>
    </w:p>
    <w:p w14:paraId="5FC6AAEE" w14:textId="69BCBBA2" w:rsidR="005729B1" w:rsidRPr="005729B1" w:rsidRDefault="005729B1" w:rsidP="00345372">
      <w:pPr>
        <w:shd w:val="clear" w:color="auto" w:fill="FFFFFF"/>
        <w:spacing w:after="0" w:line="240" w:lineRule="auto"/>
        <w:ind w:left="284" w:hanging="284"/>
        <w:contextualSpacing/>
        <w:jc w:val="both"/>
        <w:rPr>
          <w:rFonts w:asciiTheme="majorBidi" w:eastAsia="Times New Roman" w:hAnsiTheme="majorBidi" w:cstheme="majorBidi"/>
          <w:color w:val="auto"/>
          <w:sz w:val="24"/>
          <w:shd w:val="clear" w:color="auto" w:fill="FFFFFF"/>
        </w:rPr>
      </w:pPr>
      <w:r w:rsidRPr="005729B1">
        <w:rPr>
          <w:rFonts w:asciiTheme="majorBidi" w:eastAsia="Times New Roman" w:hAnsiTheme="majorBidi" w:cstheme="majorBidi"/>
          <w:color w:val="auto"/>
          <w:sz w:val="24"/>
          <w:shd w:val="clear" w:color="auto" w:fill="FFFFFF"/>
        </w:rPr>
        <w:t>2. Ma Kaige, et al. "Glypican 4 regulates Aβ internalization in neural stem cells partly via low-density lipoprotein receptor-related protein 1." Frontiers in Cellular Neuroscience 2021; 15:1-14. 732429.</w:t>
      </w:r>
      <w:r w:rsidRPr="005729B1">
        <w:rPr>
          <w:rFonts w:asciiTheme="majorBidi" w:eastAsia="Times New Roman" w:hAnsiTheme="majorBidi" w:cstheme="majorBidi"/>
          <w:color w:val="auto"/>
          <w:sz w:val="24"/>
          <w:shd w:val="clear" w:color="auto" w:fill="FFFFFF"/>
          <w:rtl/>
        </w:rPr>
        <w:t>‏</w:t>
      </w:r>
      <w:r w:rsidR="00345372" w:rsidRPr="00345372">
        <w:rPr>
          <w:b/>
          <w:bCs/>
        </w:rPr>
        <w:t xml:space="preserve"> </w:t>
      </w:r>
      <w:r w:rsidR="00910042" w:rsidRPr="00F332EB">
        <w:rPr>
          <w:rFonts w:asciiTheme="majorBidi" w:hAnsiTheme="majorBidi" w:cstheme="majorBidi"/>
          <w:color w:val="4472C4" w:themeColor="accent1"/>
          <w:sz w:val="24"/>
          <w:u w:val="single"/>
        </w:rPr>
        <w:t>https://doi.org/</w:t>
      </w:r>
      <w:r w:rsidR="00345372" w:rsidRPr="00345372">
        <w:rPr>
          <w:rFonts w:asciiTheme="majorBidi" w:eastAsia="Times New Roman" w:hAnsiTheme="majorBidi" w:cstheme="majorBidi"/>
          <w:color w:val="4472C4" w:themeColor="accent1"/>
          <w:sz w:val="24"/>
          <w:u w:val="single"/>
          <w:shd w:val="clear" w:color="auto" w:fill="FFFFFF"/>
        </w:rPr>
        <w:t>10.3389/fncel.2021.732429</w:t>
      </w:r>
    </w:p>
    <w:p w14:paraId="63985EA6" w14:textId="12FB70E3" w:rsidR="005729B1" w:rsidRPr="005729B1" w:rsidRDefault="005729B1" w:rsidP="00345372">
      <w:pPr>
        <w:shd w:val="clear" w:color="auto" w:fill="FFFFFF"/>
        <w:spacing w:after="0" w:line="240" w:lineRule="auto"/>
        <w:ind w:left="397" w:hanging="397"/>
        <w:contextualSpacing/>
        <w:jc w:val="both"/>
        <w:rPr>
          <w:rFonts w:asciiTheme="majorBidi" w:eastAsia="Times New Roman" w:hAnsiTheme="majorBidi" w:cstheme="majorBidi"/>
          <w:color w:val="auto"/>
          <w:sz w:val="24"/>
        </w:rPr>
      </w:pPr>
      <w:r w:rsidRPr="005729B1">
        <w:rPr>
          <w:rFonts w:asciiTheme="majorBidi" w:eastAsia="Times New Roman" w:hAnsiTheme="majorBidi" w:cstheme="majorBidi"/>
          <w:color w:val="auto"/>
          <w:sz w:val="24"/>
          <w:shd w:val="clear" w:color="auto" w:fill="FFFFFF"/>
        </w:rPr>
        <w:t>3. Munir J, et al. "Downregulation of glypican-4 facilitates breast cancer progression by inducing cell migration and proliferation." Biochemical and Biophysical Research Communications 2020; 526(1): 91-97.</w:t>
      </w:r>
      <w:r w:rsidRPr="005729B1">
        <w:rPr>
          <w:rFonts w:asciiTheme="majorBidi" w:eastAsia="Times New Roman" w:hAnsiTheme="majorBidi" w:cstheme="majorBidi"/>
          <w:color w:val="auto"/>
          <w:sz w:val="24"/>
          <w:shd w:val="clear" w:color="auto" w:fill="FFFFFF"/>
          <w:rtl/>
        </w:rPr>
        <w:t>‏</w:t>
      </w:r>
      <w:r w:rsidR="00345372" w:rsidRPr="00345372">
        <w:t xml:space="preserve"> </w:t>
      </w:r>
      <w:r w:rsidR="00910042" w:rsidRPr="00F332EB">
        <w:rPr>
          <w:rFonts w:asciiTheme="majorBidi" w:hAnsiTheme="majorBidi" w:cstheme="majorBidi"/>
          <w:color w:val="4472C4" w:themeColor="accent1"/>
          <w:sz w:val="24"/>
          <w:u w:val="single"/>
        </w:rPr>
        <w:t>https://doi.org/</w:t>
      </w:r>
      <w:r w:rsidR="00345372" w:rsidRPr="00345372">
        <w:rPr>
          <w:rFonts w:asciiTheme="majorBidi" w:eastAsia="Times New Roman" w:hAnsiTheme="majorBidi" w:cstheme="majorBidi"/>
          <w:color w:val="4472C4" w:themeColor="accent1"/>
          <w:sz w:val="24"/>
          <w:u w:val="single"/>
          <w:shd w:val="clear" w:color="auto" w:fill="FFFFFF"/>
        </w:rPr>
        <w:t>10.1016/j.bbrc.2020.03.064</w:t>
      </w:r>
    </w:p>
    <w:p w14:paraId="6773FF9D" w14:textId="5206F324" w:rsidR="005729B1" w:rsidRPr="005729B1" w:rsidRDefault="005729B1" w:rsidP="009F7112">
      <w:pPr>
        <w:spacing w:after="0" w:line="240" w:lineRule="auto"/>
        <w:ind w:left="284" w:hanging="284"/>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lang w:bidi="ar-IQ"/>
        </w:rPr>
        <w:t xml:space="preserve">4. </w:t>
      </w:r>
      <w:r w:rsidRPr="005729B1">
        <w:rPr>
          <w:rFonts w:asciiTheme="majorBidi" w:eastAsia="Calibri" w:hAnsiTheme="majorBidi" w:cstheme="majorBidi"/>
          <w:color w:val="auto"/>
          <w:sz w:val="24"/>
          <w:shd w:val="clear" w:color="auto" w:fill="FFFFFF"/>
        </w:rPr>
        <w:t xml:space="preserve">Chen Z, et al. Serum glypican-4 and </w:t>
      </w:r>
      <w:proofErr w:type="spellStart"/>
      <w:r w:rsidRPr="005729B1">
        <w:rPr>
          <w:rFonts w:asciiTheme="majorBidi" w:eastAsia="Calibri" w:hAnsiTheme="majorBidi" w:cstheme="majorBidi"/>
          <w:color w:val="auto"/>
          <w:sz w:val="24"/>
          <w:shd w:val="clear" w:color="auto" w:fill="FFFFFF"/>
        </w:rPr>
        <w:t>clusterin</w:t>
      </w:r>
      <w:proofErr w:type="spellEnd"/>
      <w:r w:rsidRPr="005729B1">
        <w:rPr>
          <w:rFonts w:asciiTheme="majorBidi" w:eastAsia="Calibri" w:hAnsiTheme="majorBidi" w:cstheme="majorBidi"/>
          <w:color w:val="auto"/>
          <w:sz w:val="24"/>
          <w:shd w:val="clear" w:color="auto" w:fill="FFFFFF"/>
        </w:rPr>
        <w:t xml:space="preserve"> are increased and associated with insulin resistance in patients with polycystic ovary syndrome. Research Square, 2023: 1-16.</w:t>
      </w:r>
      <w:r w:rsidRPr="005729B1">
        <w:rPr>
          <w:rFonts w:asciiTheme="majorBidi" w:eastAsia="Calibri" w:hAnsiTheme="majorBidi" w:cstheme="majorBidi"/>
          <w:color w:val="auto"/>
          <w:sz w:val="24"/>
          <w:shd w:val="clear" w:color="auto" w:fill="FFFFFF"/>
          <w:rtl/>
        </w:rPr>
        <w:t>‏</w:t>
      </w:r>
      <w:r w:rsidR="00345372" w:rsidRPr="00345372">
        <w:t xml:space="preserve"> </w:t>
      </w:r>
      <w:r w:rsidR="00910042" w:rsidRPr="00F332EB">
        <w:rPr>
          <w:rFonts w:asciiTheme="majorBidi" w:hAnsiTheme="majorBidi" w:cstheme="majorBidi"/>
          <w:color w:val="4472C4" w:themeColor="accent1"/>
          <w:sz w:val="24"/>
          <w:u w:val="single"/>
        </w:rPr>
        <w:t>https://doi.org/</w:t>
      </w:r>
      <w:r w:rsidR="00345372" w:rsidRPr="00345372">
        <w:rPr>
          <w:rFonts w:asciiTheme="majorBidi" w:eastAsia="Calibri" w:hAnsiTheme="majorBidi" w:cstheme="majorBidi"/>
          <w:color w:val="4472C4" w:themeColor="accent1"/>
          <w:sz w:val="24"/>
          <w:u w:val="single"/>
          <w:shd w:val="clear" w:color="auto" w:fill="FFFFFF"/>
        </w:rPr>
        <w:t>10.21203/rs.3.rs-3142298/v1</w:t>
      </w:r>
    </w:p>
    <w:p w14:paraId="682206CB" w14:textId="0C12C5CF" w:rsidR="005729B1" w:rsidRPr="005729B1" w:rsidRDefault="005729B1" w:rsidP="001A1EB0">
      <w:pPr>
        <w:spacing w:after="0" w:line="240" w:lineRule="auto"/>
        <w:ind w:left="284" w:hanging="284"/>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lang w:bidi="ar-IQ"/>
        </w:rPr>
        <w:t xml:space="preserve">5. </w:t>
      </w:r>
      <w:r w:rsidRPr="005729B1">
        <w:rPr>
          <w:rFonts w:asciiTheme="majorBidi" w:eastAsia="Calibri" w:hAnsiTheme="majorBidi" w:cstheme="majorBidi"/>
          <w:color w:val="auto"/>
          <w:sz w:val="24"/>
          <w:shd w:val="clear" w:color="auto" w:fill="FFFFFF"/>
        </w:rPr>
        <w:t xml:space="preserve">White UA, and </w:t>
      </w:r>
      <w:proofErr w:type="spellStart"/>
      <w:r w:rsidRPr="005729B1">
        <w:rPr>
          <w:rFonts w:asciiTheme="majorBidi" w:eastAsia="Calibri" w:hAnsiTheme="majorBidi" w:cstheme="majorBidi"/>
          <w:color w:val="auto"/>
          <w:sz w:val="24"/>
          <w:shd w:val="clear" w:color="auto" w:fill="FFFFFF"/>
        </w:rPr>
        <w:t>Yourka</w:t>
      </w:r>
      <w:proofErr w:type="spellEnd"/>
      <w:r w:rsidRPr="005729B1">
        <w:rPr>
          <w:rFonts w:asciiTheme="majorBidi" w:eastAsia="Calibri" w:hAnsiTheme="majorBidi" w:cstheme="majorBidi"/>
          <w:color w:val="auto"/>
          <w:sz w:val="24"/>
          <w:shd w:val="clear" w:color="auto" w:fill="FFFFFF"/>
        </w:rPr>
        <w:t xml:space="preserve"> DT. Sex dimorphism and depot differences in adipose tissue function. </w:t>
      </w:r>
      <w:proofErr w:type="spellStart"/>
      <w:r w:rsidRPr="005729B1">
        <w:rPr>
          <w:rFonts w:asciiTheme="majorBidi" w:eastAsia="Calibri" w:hAnsiTheme="majorBidi" w:cstheme="majorBidi"/>
          <w:color w:val="auto"/>
          <w:sz w:val="24"/>
          <w:shd w:val="clear" w:color="auto" w:fill="FFFFFF"/>
        </w:rPr>
        <w:t>Biochimica</w:t>
      </w:r>
      <w:proofErr w:type="spellEnd"/>
      <w:r w:rsidRPr="005729B1">
        <w:rPr>
          <w:rFonts w:asciiTheme="majorBidi" w:eastAsia="Calibri" w:hAnsiTheme="majorBidi" w:cstheme="majorBidi"/>
          <w:color w:val="auto"/>
          <w:sz w:val="24"/>
          <w:shd w:val="clear" w:color="auto" w:fill="FFFFFF"/>
        </w:rPr>
        <w:t xml:space="preserve"> et </w:t>
      </w:r>
      <w:proofErr w:type="spellStart"/>
      <w:r w:rsidRPr="005729B1">
        <w:rPr>
          <w:rFonts w:asciiTheme="majorBidi" w:eastAsia="Calibri" w:hAnsiTheme="majorBidi" w:cstheme="majorBidi"/>
          <w:color w:val="auto"/>
          <w:sz w:val="24"/>
          <w:shd w:val="clear" w:color="auto" w:fill="FFFFFF"/>
        </w:rPr>
        <w:t>Biophysica</w:t>
      </w:r>
      <w:proofErr w:type="spellEnd"/>
      <w:r w:rsidRPr="005729B1">
        <w:rPr>
          <w:rFonts w:asciiTheme="majorBidi" w:eastAsia="Calibri" w:hAnsiTheme="majorBidi" w:cstheme="majorBidi"/>
          <w:color w:val="auto"/>
          <w:sz w:val="24"/>
          <w:shd w:val="clear" w:color="auto" w:fill="FFFFFF"/>
        </w:rPr>
        <w:t xml:space="preserve"> Acta (BBA)-Molecular Basis of Disease 2014; 1842(3): 377-392.</w:t>
      </w:r>
      <w:r w:rsidRPr="005729B1">
        <w:rPr>
          <w:rFonts w:asciiTheme="majorBidi" w:eastAsia="Calibri" w:hAnsiTheme="majorBidi" w:cstheme="majorBidi"/>
          <w:color w:val="auto"/>
          <w:sz w:val="24"/>
          <w:shd w:val="clear" w:color="auto" w:fill="FFFFFF"/>
          <w:rtl/>
        </w:rPr>
        <w:t>‏</w:t>
      </w:r>
      <w:r w:rsidRPr="005729B1">
        <w:rPr>
          <w:rFonts w:asciiTheme="majorBidi" w:eastAsia="Calibri" w:hAnsiTheme="majorBidi" w:cstheme="majorBidi"/>
          <w:color w:val="auto"/>
          <w:sz w:val="24"/>
          <w:lang w:bidi="ar-IQ"/>
        </w:rPr>
        <w:t xml:space="preserve"> </w:t>
      </w:r>
      <w:r w:rsidR="00910042" w:rsidRPr="00F332EB">
        <w:rPr>
          <w:rFonts w:asciiTheme="majorBidi" w:hAnsiTheme="majorBidi" w:cstheme="majorBidi"/>
          <w:color w:val="4472C4" w:themeColor="accent1"/>
          <w:sz w:val="24"/>
          <w:u w:val="single"/>
        </w:rPr>
        <w:t>https://doi.org/</w:t>
      </w:r>
      <w:r w:rsidR="001A1EB0" w:rsidRPr="001A1EB0">
        <w:rPr>
          <w:rFonts w:asciiTheme="majorBidi" w:eastAsia="Calibri" w:hAnsiTheme="majorBidi" w:cstheme="majorBidi"/>
          <w:color w:val="4472C4" w:themeColor="accent1"/>
          <w:sz w:val="24"/>
          <w:u w:val="single"/>
          <w:lang w:bidi="ar-IQ"/>
        </w:rPr>
        <w:t>10.1016/j.bbadis.2013.05.006</w:t>
      </w:r>
    </w:p>
    <w:p w14:paraId="7C6B9500" w14:textId="5442D614" w:rsidR="005729B1" w:rsidRPr="005729B1" w:rsidRDefault="005729B1" w:rsidP="001A1EB0">
      <w:pPr>
        <w:spacing w:after="0" w:line="240" w:lineRule="auto"/>
        <w:ind w:left="284" w:hanging="284"/>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lang w:bidi="ar-IQ"/>
        </w:rPr>
        <w:t>6.</w:t>
      </w:r>
      <w:r w:rsidRPr="005729B1">
        <w:rPr>
          <w:rFonts w:asciiTheme="majorBidi" w:eastAsia="Calibri" w:hAnsiTheme="majorBidi" w:cstheme="majorBidi"/>
          <w:color w:val="auto"/>
          <w:sz w:val="24"/>
          <w:shd w:val="clear" w:color="auto" w:fill="FFFFFF"/>
        </w:rPr>
        <w:t xml:space="preserve"> </w:t>
      </w:r>
      <w:proofErr w:type="spellStart"/>
      <w:r w:rsidRPr="005729B1">
        <w:rPr>
          <w:rFonts w:asciiTheme="majorBidi" w:eastAsia="Calibri" w:hAnsiTheme="majorBidi" w:cstheme="majorBidi"/>
          <w:color w:val="auto"/>
          <w:sz w:val="24"/>
          <w:shd w:val="clear" w:color="auto" w:fill="FFFFFF"/>
        </w:rPr>
        <w:t>Jędrzejuk</w:t>
      </w:r>
      <w:proofErr w:type="spellEnd"/>
      <w:r w:rsidRPr="005729B1">
        <w:rPr>
          <w:rFonts w:asciiTheme="majorBidi" w:eastAsia="Calibri" w:hAnsiTheme="majorBidi" w:cstheme="majorBidi"/>
          <w:color w:val="auto"/>
          <w:sz w:val="24"/>
          <w:shd w:val="clear" w:color="auto" w:fill="FFFFFF"/>
        </w:rPr>
        <w:t xml:space="preserve"> D, et al. "Association of serum glypican-4 levels with cardiovascular risk predictors in women with polycystic ovary syndrome–a pilot study." </w:t>
      </w:r>
      <w:proofErr w:type="spellStart"/>
      <w:r w:rsidRPr="005729B1">
        <w:rPr>
          <w:rFonts w:asciiTheme="majorBidi" w:eastAsia="Calibri" w:hAnsiTheme="majorBidi" w:cstheme="majorBidi"/>
          <w:color w:val="auto"/>
          <w:sz w:val="24"/>
          <w:shd w:val="clear" w:color="auto" w:fill="FFFFFF"/>
        </w:rPr>
        <w:t>Gynecological</w:t>
      </w:r>
      <w:proofErr w:type="spellEnd"/>
      <w:r w:rsidRPr="005729B1">
        <w:rPr>
          <w:rFonts w:asciiTheme="majorBidi" w:eastAsia="Calibri" w:hAnsiTheme="majorBidi" w:cstheme="majorBidi"/>
          <w:color w:val="auto"/>
          <w:sz w:val="24"/>
          <w:shd w:val="clear" w:color="auto" w:fill="FFFFFF"/>
        </w:rPr>
        <w:t xml:space="preserve"> Endocrinology 2016; 32(3): 223-226.</w:t>
      </w:r>
      <w:r w:rsidRPr="005729B1">
        <w:rPr>
          <w:rFonts w:asciiTheme="majorBidi" w:eastAsia="Calibri" w:hAnsiTheme="majorBidi" w:cstheme="majorBidi"/>
          <w:color w:val="auto"/>
          <w:sz w:val="24"/>
          <w:shd w:val="clear" w:color="auto" w:fill="FFFFFF"/>
          <w:rtl/>
        </w:rPr>
        <w:t>‏</w:t>
      </w:r>
      <w:r w:rsidR="001A1EB0" w:rsidRPr="001A1EB0">
        <w:t xml:space="preserve"> </w:t>
      </w:r>
      <w:r w:rsidR="00910042" w:rsidRPr="00F332EB">
        <w:rPr>
          <w:rFonts w:asciiTheme="majorBidi" w:hAnsiTheme="majorBidi" w:cstheme="majorBidi"/>
          <w:color w:val="4472C4" w:themeColor="accent1"/>
          <w:sz w:val="24"/>
          <w:u w:val="single"/>
        </w:rPr>
        <w:t>https://doi.org/</w:t>
      </w:r>
      <w:r w:rsidR="001A1EB0" w:rsidRPr="001A1EB0">
        <w:rPr>
          <w:rFonts w:asciiTheme="majorBidi" w:eastAsia="Calibri" w:hAnsiTheme="majorBidi" w:cstheme="majorBidi"/>
          <w:color w:val="4472C4" w:themeColor="accent1"/>
          <w:sz w:val="24"/>
          <w:u w:val="single"/>
          <w:shd w:val="clear" w:color="auto" w:fill="FFFFFF"/>
        </w:rPr>
        <w:t>10.3109/09513590.2015.1110137</w:t>
      </w:r>
    </w:p>
    <w:p w14:paraId="4640197C" w14:textId="0F1CDDB4" w:rsidR="005729B1" w:rsidRPr="005729B1" w:rsidRDefault="005729B1" w:rsidP="001A1EB0">
      <w:pPr>
        <w:spacing w:after="0" w:line="240" w:lineRule="auto"/>
        <w:ind w:left="397" w:hanging="397"/>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lang w:bidi="ar-IQ"/>
        </w:rPr>
        <w:t>7.</w:t>
      </w:r>
      <w:r w:rsidRPr="005729B1">
        <w:rPr>
          <w:rFonts w:asciiTheme="majorBidi" w:eastAsia="Calibri" w:hAnsiTheme="majorBidi" w:cstheme="majorBidi"/>
          <w:color w:val="auto"/>
          <w:sz w:val="24"/>
          <w:shd w:val="clear" w:color="auto" w:fill="FFFFFF"/>
        </w:rPr>
        <w:t xml:space="preserve"> Zhang K, et al. Serum glypican4 and glycosylphosphatidylinositol-specific phospholipase D levels are associated with adipose tissue insulin resistance in obese subjects with different glucose metabolism status. Journal of Endocrinological Investigation 2021; 44: 781-790.</w:t>
      </w:r>
      <w:r w:rsidRPr="005729B1">
        <w:rPr>
          <w:rFonts w:asciiTheme="majorBidi" w:eastAsia="Calibri" w:hAnsiTheme="majorBidi" w:cstheme="majorBidi"/>
          <w:color w:val="auto"/>
          <w:sz w:val="24"/>
          <w:shd w:val="clear" w:color="auto" w:fill="FFFFFF"/>
          <w:rtl/>
        </w:rPr>
        <w:t>‏</w:t>
      </w:r>
      <w:r w:rsidR="001A1EB0" w:rsidRPr="001A1EB0">
        <w:t xml:space="preserve"> </w:t>
      </w:r>
      <w:r w:rsidR="00910042" w:rsidRPr="00F332EB">
        <w:rPr>
          <w:rFonts w:asciiTheme="majorBidi" w:hAnsiTheme="majorBidi" w:cstheme="majorBidi"/>
          <w:color w:val="4472C4" w:themeColor="accent1"/>
          <w:sz w:val="24"/>
          <w:u w:val="single"/>
        </w:rPr>
        <w:t>https://doi.org/</w:t>
      </w:r>
      <w:r w:rsidR="001A1EB0" w:rsidRPr="001A1EB0">
        <w:rPr>
          <w:rFonts w:asciiTheme="majorBidi" w:eastAsia="Calibri" w:hAnsiTheme="majorBidi" w:cstheme="majorBidi"/>
          <w:color w:val="4472C4" w:themeColor="accent1"/>
          <w:sz w:val="24"/>
          <w:u w:val="single"/>
          <w:shd w:val="clear" w:color="auto" w:fill="FFFFFF"/>
        </w:rPr>
        <w:t>10.20945/2359-3997000000340</w:t>
      </w:r>
    </w:p>
    <w:p w14:paraId="241E86E3" w14:textId="04EC0985" w:rsidR="005729B1" w:rsidRPr="005729B1" w:rsidRDefault="005729B1" w:rsidP="00B35F49">
      <w:pPr>
        <w:spacing w:after="0" w:line="240" w:lineRule="auto"/>
        <w:ind w:left="284" w:hanging="284"/>
        <w:contextualSpacing/>
        <w:jc w:val="both"/>
        <w:rPr>
          <w:rFonts w:asciiTheme="majorBidi" w:eastAsia="Calibri" w:hAnsiTheme="majorBidi" w:cstheme="majorBidi"/>
          <w:color w:val="auto"/>
          <w:sz w:val="24"/>
        </w:rPr>
      </w:pPr>
      <w:r w:rsidRPr="005729B1">
        <w:rPr>
          <w:rFonts w:asciiTheme="majorBidi" w:eastAsia="Calibri" w:hAnsiTheme="majorBidi" w:cstheme="majorBidi"/>
          <w:color w:val="auto"/>
          <w:sz w:val="24"/>
          <w:lang w:bidi="ar-IQ"/>
        </w:rPr>
        <w:t>8.</w:t>
      </w:r>
      <w:r w:rsidRPr="005729B1">
        <w:rPr>
          <w:rFonts w:asciiTheme="majorBidi" w:eastAsia="Calibri" w:hAnsiTheme="majorBidi" w:cstheme="majorBidi"/>
          <w:color w:val="auto"/>
          <w:sz w:val="24"/>
          <w:shd w:val="clear" w:color="auto" w:fill="FFFFFF"/>
        </w:rPr>
        <w:t xml:space="preserve"> </w:t>
      </w:r>
      <w:proofErr w:type="spellStart"/>
      <w:r w:rsidRPr="005729B1">
        <w:rPr>
          <w:rFonts w:asciiTheme="majorBidi" w:eastAsia="Calibri" w:hAnsiTheme="majorBidi" w:cstheme="majorBidi"/>
          <w:color w:val="auto"/>
          <w:sz w:val="24"/>
          <w:shd w:val="clear" w:color="auto" w:fill="FFFFFF"/>
        </w:rPr>
        <w:t>Pessentheiner</w:t>
      </w:r>
      <w:proofErr w:type="spellEnd"/>
      <w:r w:rsidRPr="005729B1">
        <w:rPr>
          <w:rFonts w:asciiTheme="majorBidi" w:eastAsia="Calibri" w:hAnsiTheme="majorBidi" w:cstheme="majorBidi"/>
          <w:color w:val="auto"/>
          <w:sz w:val="24"/>
          <w:shd w:val="clear" w:color="auto" w:fill="FFFFFF"/>
        </w:rPr>
        <w:t xml:space="preserve"> AR, Michelle D, and Philip LSM. Proteoglycans in obesity-associated metabolic dysfunction and meta-inflammation. Frontiers in immunology 2020; 11: 769.</w:t>
      </w:r>
      <w:r w:rsidRPr="005729B1">
        <w:rPr>
          <w:rFonts w:asciiTheme="majorBidi" w:eastAsia="Calibri" w:hAnsiTheme="majorBidi" w:cstheme="majorBidi"/>
          <w:color w:val="auto"/>
          <w:sz w:val="24"/>
          <w:shd w:val="clear" w:color="auto" w:fill="FFFFFF"/>
          <w:rtl/>
        </w:rPr>
        <w:t>‏</w:t>
      </w:r>
      <w:r w:rsidR="00B35F49" w:rsidRPr="00B35F49">
        <w:t xml:space="preserve"> </w:t>
      </w:r>
      <w:r w:rsidR="00910042" w:rsidRPr="00F332EB">
        <w:rPr>
          <w:rFonts w:asciiTheme="majorBidi" w:hAnsiTheme="majorBidi" w:cstheme="majorBidi"/>
          <w:color w:val="4472C4" w:themeColor="accent1"/>
          <w:sz w:val="24"/>
          <w:u w:val="single"/>
        </w:rPr>
        <w:t>https://doi.org/</w:t>
      </w:r>
      <w:r w:rsidR="00B35F49" w:rsidRPr="00B35F49">
        <w:rPr>
          <w:rFonts w:asciiTheme="majorBidi" w:eastAsia="Calibri" w:hAnsiTheme="majorBidi" w:cstheme="majorBidi"/>
          <w:color w:val="4472C4" w:themeColor="accent1"/>
          <w:sz w:val="24"/>
          <w:u w:val="single"/>
          <w:shd w:val="clear" w:color="auto" w:fill="FFFFFF"/>
        </w:rPr>
        <w:t>10.3389/fimmu.2020.00769</w:t>
      </w:r>
    </w:p>
    <w:p w14:paraId="422967F7" w14:textId="76EE0F97" w:rsidR="005729B1" w:rsidRPr="005729B1" w:rsidRDefault="005729B1" w:rsidP="00B35F49">
      <w:pPr>
        <w:adjustRightInd w:val="0"/>
        <w:spacing w:after="0" w:line="240" w:lineRule="auto"/>
        <w:ind w:left="284" w:hanging="284"/>
        <w:contextualSpacing/>
        <w:jc w:val="both"/>
        <w:rPr>
          <w:rFonts w:asciiTheme="majorBidi" w:eastAsia="Calibri" w:hAnsiTheme="majorBidi" w:cstheme="majorBidi"/>
          <w:color w:val="auto"/>
          <w:sz w:val="24"/>
        </w:rPr>
      </w:pPr>
      <w:r w:rsidRPr="00450B7C">
        <w:rPr>
          <w:rFonts w:asciiTheme="majorBidi" w:eastAsia="Calibri" w:hAnsiTheme="majorBidi" w:cstheme="majorBidi"/>
          <w:color w:val="auto"/>
          <w:sz w:val="24"/>
          <w:lang w:val="pt-BR" w:bidi="ar-IQ"/>
        </w:rPr>
        <w:t xml:space="preserve">9. </w:t>
      </w:r>
      <w:r w:rsidRPr="00450B7C">
        <w:rPr>
          <w:rFonts w:asciiTheme="majorBidi" w:eastAsia="Calibri" w:hAnsiTheme="majorBidi" w:cstheme="majorBidi"/>
          <w:color w:val="auto"/>
          <w:sz w:val="24"/>
          <w:lang w:val="pt-BR"/>
        </w:rPr>
        <w:t xml:space="preserve">Mani H, Chudasama Y, Hadjiconstantinou M, et al. </w:t>
      </w:r>
      <w:r w:rsidRPr="005729B1">
        <w:rPr>
          <w:rFonts w:asciiTheme="majorBidi" w:eastAsia="Calibri" w:hAnsiTheme="majorBidi" w:cstheme="majorBidi"/>
          <w:color w:val="auto"/>
          <w:sz w:val="24"/>
        </w:rPr>
        <w:t xml:space="preserve">Structured education programme for women with polycystic ovary syndrome: a randomised controlled trial. </w:t>
      </w:r>
      <w:proofErr w:type="spellStart"/>
      <w:r w:rsidRPr="005729B1">
        <w:rPr>
          <w:rFonts w:asciiTheme="majorBidi" w:eastAsia="Calibri" w:hAnsiTheme="majorBidi" w:cstheme="majorBidi"/>
          <w:color w:val="auto"/>
          <w:sz w:val="24"/>
        </w:rPr>
        <w:t>Endoc</w:t>
      </w:r>
      <w:proofErr w:type="spellEnd"/>
      <w:r w:rsidRPr="005729B1">
        <w:rPr>
          <w:rFonts w:asciiTheme="majorBidi" w:eastAsia="Calibri" w:hAnsiTheme="majorBidi" w:cstheme="majorBidi"/>
          <w:color w:val="auto"/>
          <w:sz w:val="24"/>
        </w:rPr>
        <w:t xml:space="preserve"> connect. 2017 Nov 13:EC-17. </w:t>
      </w:r>
      <w:r w:rsidR="00910042" w:rsidRPr="00F332EB">
        <w:rPr>
          <w:rFonts w:asciiTheme="majorBidi" w:hAnsiTheme="majorBidi" w:cstheme="majorBidi"/>
          <w:color w:val="4472C4" w:themeColor="accent1"/>
          <w:sz w:val="24"/>
          <w:u w:val="single"/>
        </w:rPr>
        <w:t>https://doi.org/</w:t>
      </w:r>
      <w:r w:rsidR="00B35F49" w:rsidRPr="00B35F49">
        <w:rPr>
          <w:rFonts w:asciiTheme="majorBidi" w:eastAsia="Calibri" w:hAnsiTheme="majorBidi" w:cstheme="majorBidi"/>
          <w:color w:val="4472C4" w:themeColor="accent1"/>
          <w:sz w:val="24"/>
          <w:u w:val="single"/>
        </w:rPr>
        <w:t>10.1530/EC-17-0274</w:t>
      </w:r>
    </w:p>
    <w:p w14:paraId="49863CBB" w14:textId="31CDBEBB" w:rsidR="005729B1" w:rsidRPr="00450B7C" w:rsidRDefault="005729B1" w:rsidP="009F7112">
      <w:pPr>
        <w:adjustRightInd w:val="0"/>
        <w:spacing w:after="0" w:line="240" w:lineRule="auto"/>
        <w:ind w:left="397" w:hanging="397"/>
        <w:contextualSpacing/>
        <w:jc w:val="both"/>
        <w:rPr>
          <w:rFonts w:asciiTheme="majorBidi" w:eastAsia="Calibri" w:hAnsiTheme="majorBidi" w:cstheme="majorBidi"/>
          <w:color w:val="auto"/>
          <w:sz w:val="24"/>
          <w:lang w:val="pt-BR"/>
        </w:rPr>
      </w:pPr>
      <w:r w:rsidRPr="005729B1">
        <w:rPr>
          <w:rFonts w:asciiTheme="majorBidi" w:eastAsia="Calibri" w:hAnsiTheme="majorBidi" w:cstheme="majorBidi"/>
          <w:color w:val="auto"/>
          <w:sz w:val="24"/>
          <w:lang w:bidi="ar-IQ"/>
        </w:rPr>
        <w:t>10.</w:t>
      </w:r>
      <w:r w:rsidRPr="005729B1">
        <w:rPr>
          <w:rFonts w:asciiTheme="majorBidi" w:eastAsia="Calibri" w:hAnsiTheme="majorBidi" w:cstheme="majorBidi"/>
          <w:color w:val="auto"/>
          <w:sz w:val="24"/>
        </w:rPr>
        <w:t xml:space="preserve"> Kim JJ. Obesity and Polycystic Ovary Syndrome. </w:t>
      </w:r>
      <w:r w:rsidRPr="00450B7C">
        <w:rPr>
          <w:rFonts w:asciiTheme="majorBidi" w:eastAsia="Calibri" w:hAnsiTheme="majorBidi" w:cstheme="majorBidi"/>
          <w:color w:val="auto"/>
          <w:sz w:val="24"/>
          <w:lang w:val="pt-BR"/>
        </w:rPr>
        <w:t xml:space="preserve">J Obes Metab Syndr 2024; 33(4): 289-301. </w:t>
      </w:r>
      <w:r w:rsidR="00910042" w:rsidRPr="00450B7C">
        <w:rPr>
          <w:rFonts w:asciiTheme="majorBidi" w:hAnsiTheme="majorBidi" w:cstheme="majorBidi"/>
          <w:color w:val="4472C4" w:themeColor="accent1"/>
          <w:sz w:val="24"/>
          <w:u w:val="single"/>
          <w:lang w:val="pt-BR"/>
        </w:rPr>
        <w:t>https://doi.org/</w:t>
      </w:r>
      <w:r w:rsidR="009E5DD6" w:rsidRPr="00450B7C">
        <w:rPr>
          <w:rFonts w:asciiTheme="majorBidi" w:eastAsia="Calibri" w:hAnsiTheme="majorBidi" w:cstheme="majorBidi"/>
          <w:color w:val="4472C4" w:themeColor="accent1"/>
          <w:sz w:val="24"/>
          <w:u w:val="single"/>
          <w:lang w:val="pt-BR"/>
        </w:rPr>
        <w:t>10.7570/jomes24035</w:t>
      </w:r>
    </w:p>
    <w:p w14:paraId="3DD4AF25" w14:textId="77777777" w:rsidR="005729B1" w:rsidRPr="005729B1" w:rsidRDefault="005729B1" w:rsidP="009F7112">
      <w:pPr>
        <w:adjustRightInd w:val="0"/>
        <w:spacing w:after="0" w:line="240" w:lineRule="auto"/>
        <w:ind w:left="397" w:hanging="397"/>
        <w:contextualSpacing/>
        <w:jc w:val="both"/>
        <w:rPr>
          <w:rFonts w:asciiTheme="majorBidi" w:eastAsia="Calibri" w:hAnsiTheme="majorBidi" w:cstheme="majorBidi"/>
          <w:color w:val="auto"/>
          <w:sz w:val="24"/>
        </w:rPr>
      </w:pPr>
      <w:r w:rsidRPr="005729B1">
        <w:rPr>
          <w:rFonts w:asciiTheme="majorBidi" w:eastAsia="Calibri" w:hAnsiTheme="majorBidi" w:cstheme="majorBidi"/>
          <w:color w:val="auto"/>
          <w:sz w:val="24"/>
        </w:rPr>
        <w:lastRenderedPageBreak/>
        <w:t xml:space="preserve">11. Farman MS, </w:t>
      </w:r>
      <w:proofErr w:type="spellStart"/>
      <w:r w:rsidRPr="005729B1">
        <w:rPr>
          <w:rFonts w:asciiTheme="majorBidi" w:eastAsia="Calibri" w:hAnsiTheme="majorBidi" w:cstheme="majorBidi"/>
          <w:color w:val="auto"/>
          <w:sz w:val="24"/>
        </w:rPr>
        <w:t>Akoul</w:t>
      </w:r>
      <w:proofErr w:type="spellEnd"/>
      <w:r w:rsidRPr="005729B1">
        <w:rPr>
          <w:rFonts w:asciiTheme="majorBidi" w:eastAsia="Calibri" w:hAnsiTheme="majorBidi" w:cstheme="majorBidi"/>
          <w:color w:val="auto"/>
          <w:sz w:val="24"/>
        </w:rPr>
        <w:t xml:space="preserve"> MA, and </w:t>
      </w:r>
      <w:proofErr w:type="spellStart"/>
      <w:r w:rsidRPr="005729B1">
        <w:rPr>
          <w:rFonts w:asciiTheme="majorBidi" w:eastAsia="Calibri" w:hAnsiTheme="majorBidi" w:cstheme="majorBidi"/>
          <w:color w:val="auto"/>
          <w:sz w:val="24"/>
        </w:rPr>
        <w:t>Hamoode</w:t>
      </w:r>
      <w:proofErr w:type="spellEnd"/>
      <w:r w:rsidRPr="005729B1">
        <w:rPr>
          <w:rFonts w:asciiTheme="majorBidi" w:eastAsia="Calibri" w:hAnsiTheme="majorBidi" w:cstheme="majorBidi"/>
          <w:color w:val="auto"/>
          <w:sz w:val="24"/>
        </w:rPr>
        <w:t xml:space="preserve"> RH. Study of Some </w:t>
      </w:r>
      <w:proofErr w:type="spellStart"/>
      <w:r w:rsidRPr="005729B1">
        <w:rPr>
          <w:rFonts w:asciiTheme="majorBidi" w:eastAsia="Calibri" w:hAnsiTheme="majorBidi" w:cstheme="majorBidi"/>
          <w:color w:val="auto"/>
          <w:sz w:val="24"/>
        </w:rPr>
        <w:t>Hematological</w:t>
      </w:r>
      <w:proofErr w:type="spellEnd"/>
      <w:r w:rsidRPr="005729B1">
        <w:rPr>
          <w:rFonts w:asciiTheme="majorBidi" w:eastAsia="Calibri" w:hAnsiTheme="majorBidi" w:cstheme="majorBidi"/>
          <w:color w:val="auto"/>
          <w:sz w:val="24"/>
        </w:rPr>
        <w:t xml:space="preserve"> and Hormonal Changes in Patients with (PCOS). Annals of the Romanian Society for Cell Biology. 2021 Mar 23:2288-92. </w:t>
      </w:r>
    </w:p>
    <w:p w14:paraId="234FF6C9" w14:textId="77777777" w:rsidR="005729B1" w:rsidRPr="005729B1" w:rsidRDefault="005729B1" w:rsidP="009F7112">
      <w:pPr>
        <w:adjustRightInd w:val="0"/>
        <w:spacing w:after="0" w:line="240" w:lineRule="auto"/>
        <w:ind w:left="397" w:hanging="397"/>
        <w:contextualSpacing/>
        <w:jc w:val="both"/>
        <w:rPr>
          <w:rFonts w:asciiTheme="majorBidi" w:eastAsia="Calibri" w:hAnsiTheme="majorBidi" w:cstheme="majorBidi"/>
          <w:color w:val="auto"/>
          <w:sz w:val="24"/>
        </w:rPr>
      </w:pPr>
      <w:r w:rsidRPr="005729B1">
        <w:rPr>
          <w:rFonts w:asciiTheme="majorBidi" w:eastAsia="Calibri" w:hAnsiTheme="majorBidi" w:cstheme="majorBidi"/>
          <w:color w:val="auto"/>
          <w:sz w:val="24"/>
        </w:rPr>
        <w:t xml:space="preserve">12. </w:t>
      </w:r>
      <w:proofErr w:type="spellStart"/>
      <w:r w:rsidRPr="005729B1">
        <w:rPr>
          <w:rFonts w:asciiTheme="majorBidi" w:eastAsia="Calibri" w:hAnsiTheme="majorBidi" w:cstheme="majorBidi"/>
          <w:color w:val="auto"/>
          <w:sz w:val="24"/>
        </w:rPr>
        <w:t>Fulghesu</w:t>
      </w:r>
      <w:proofErr w:type="spellEnd"/>
      <w:r w:rsidRPr="005729B1">
        <w:rPr>
          <w:rFonts w:asciiTheme="majorBidi" w:eastAsia="Calibri" w:hAnsiTheme="majorBidi" w:cstheme="majorBidi"/>
          <w:color w:val="auto"/>
          <w:sz w:val="24"/>
        </w:rPr>
        <w:t xml:space="preserve"> AM, </w:t>
      </w:r>
      <w:proofErr w:type="spellStart"/>
      <w:r w:rsidRPr="005729B1">
        <w:rPr>
          <w:rFonts w:asciiTheme="majorBidi" w:eastAsia="Calibri" w:hAnsiTheme="majorBidi" w:cstheme="majorBidi"/>
          <w:color w:val="auto"/>
          <w:sz w:val="24"/>
        </w:rPr>
        <w:t>Porru</w:t>
      </w:r>
      <w:proofErr w:type="spellEnd"/>
      <w:r w:rsidRPr="005729B1">
        <w:rPr>
          <w:rFonts w:asciiTheme="majorBidi" w:eastAsia="Calibri" w:hAnsiTheme="majorBidi" w:cstheme="majorBidi"/>
          <w:color w:val="auto"/>
          <w:sz w:val="24"/>
        </w:rPr>
        <w:t xml:space="preserve"> C, Canu E. Diagnosis of Polycystic Ovarian Syndrome in Adolescence. J </w:t>
      </w:r>
      <w:proofErr w:type="spellStart"/>
      <w:r w:rsidRPr="005729B1">
        <w:rPr>
          <w:rFonts w:asciiTheme="majorBidi" w:eastAsia="Calibri" w:hAnsiTheme="majorBidi" w:cstheme="majorBidi"/>
          <w:color w:val="auto"/>
          <w:sz w:val="24"/>
        </w:rPr>
        <w:t>pediatr</w:t>
      </w:r>
      <w:proofErr w:type="spellEnd"/>
      <w:r w:rsidRPr="005729B1">
        <w:rPr>
          <w:rFonts w:asciiTheme="majorBidi" w:eastAsia="Calibri" w:hAnsiTheme="majorBidi" w:cstheme="majorBidi"/>
          <w:color w:val="auto"/>
          <w:sz w:val="24"/>
        </w:rPr>
        <w:t xml:space="preserve"> </w:t>
      </w:r>
      <w:proofErr w:type="spellStart"/>
      <w:r w:rsidRPr="005729B1">
        <w:rPr>
          <w:rFonts w:asciiTheme="majorBidi" w:eastAsia="Calibri" w:hAnsiTheme="majorBidi" w:cstheme="majorBidi"/>
          <w:color w:val="auto"/>
          <w:sz w:val="24"/>
        </w:rPr>
        <w:t>adolesc</w:t>
      </w:r>
      <w:proofErr w:type="spellEnd"/>
      <w:r w:rsidRPr="005729B1">
        <w:rPr>
          <w:rFonts w:asciiTheme="majorBidi" w:eastAsia="Calibri" w:hAnsiTheme="majorBidi" w:cstheme="majorBidi"/>
          <w:color w:val="auto"/>
          <w:sz w:val="24"/>
        </w:rPr>
        <w:t xml:space="preserve"> gynecol. 2018:143-159. </w:t>
      </w:r>
    </w:p>
    <w:p w14:paraId="4DBB366A" w14:textId="799A42BC" w:rsidR="005729B1" w:rsidRPr="005729B1" w:rsidRDefault="005729B1" w:rsidP="009F7112">
      <w:pPr>
        <w:tabs>
          <w:tab w:val="left" w:pos="2329"/>
        </w:tabs>
        <w:spacing w:after="0" w:line="240" w:lineRule="auto"/>
        <w:ind w:left="426" w:hanging="426"/>
        <w:contextualSpacing/>
        <w:jc w:val="both"/>
        <w:rPr>
          <w:rFonts w:asciiTheme="majorBidi" w:eastAsia="Calibri" w:hAnsiTheme="majorBidi" w:cstheme="majorBidi"/>
          <w:noProof/>
          <w:color w:val="auto"/>
          <w:sz w:val="24"/>
        </w:rPr>
      </w:pPr>
      <w:r w:rsidRPr="005729B1">
        <w:rPr>
          <w:rFonts w:asciiTheme="majorBidi" w:eastAsia="Calibri" w:hAnsiTheme="majorBidi" w:cstheme="majorBidi"/>
          <w:color w:val="auto"/>
          <w:sz w:val="24"/>
          <w:shd w:val="clear" w:color="auto" w:fill="FFFFFF"/>
        </w:rPr>
        <w:t>13. Chen Z, Zeng H, Huang Q, Lin C, Li X, Sun </w:t>
      </w:r>
      <w:proofErr w:type="spellStart"/>
      <w:proofErr w:type="gramStart"/>
      <w:r w:rsidRPr="005729B1">
        <w:rPr>
          <w:rFonts w:asciiTheme="majorBidi" w:eastAsia="Calibri" w:hAnsiTheme="majorBidi" w:cstheme="majorBidi"/>
          <w:color w:val="auto"/>
          <w:sz w:val="24"/>
          <w:shd w:val="clear" w:color="auto" w:fill="FFFFFF"/>
        </w:rPr>
        <w:t>S,and</w:t>
      </w:r>
      <w:proofErr w:type="spellEnd"/>
      <w:proofErr w:type="gramEnd"/>
      <w:r w:rsidRPr="005729B1">
        <w:rPr>
          <w:rFonts w:asciiTheme="majorBidi" w:eastAsia="Calibri" w:hAnsiTheme="majorBidi" w:cstheme="majorBidi"/>
          <w:color w:val="auto"/>
          <w:sz w:val="24"/>
          <w:shd w:val="clear" w:color="auto" w:fill="FFFFFF"/>
        </w:rPr>
        <w:t xml:space="preserve"> Liu J. Increased GPC4 and </w:t>
      </w:r>
      <w:proofErr w:type="spellStart"/>
      <w:r w:rsidRPr="005729B1">
        <w:rPr>
          <w:rFonts w:asciiTheme="majorBidi" w:eastAsia="Calibri" w:hAnsiTheme="majorBidi" w:cstheme="majorBidi"/>
          <w:color w:val="auto"/>
          <w:sz w:val="24"/>
          <w:shd w:val="clear" w:color="auto" w:fill="FFFFFF"/>
        </w:rPr>
        <w:t>clusterin</w:t>
      </w:r>
      <w:proofErr w:type="spellEnd"/>
      <w:r w:rsidRPr="005729B1">
        <w:rPr>
          <w:rFonts w:asciiTheme="majorBidi" w:eastAsia="Calibri" w:hAnsiTheme="majorBidi" w:cstheme="majorBidi"/>
          <w:color w:val="auto"/>
          <w:sz w:val="24"/>
          <w:shd w:val="clear" w:color="auto" w:fill="FFFFFF"/>
        </w:rPr>
        <w:t xml:space="preserve"> associated with insulin resistance in patients with PCOS. </w:t>
      </w:r>
      <w:proofErr w:type="spellStart"/>
      <w:r w:rsidRPr="005729B1">
        <w:rPr>
          <w:rFonts w:asciiTheme="majorBidi" w:eastAsia="Calibri" w:hAnsiTheme="majorBidi" w:cstheme="majorBidi"/>
          <w:color w:val="auto"/>
          <w:sz w:val="24"/>
          <w:shd w:val="clear" w:color="auto" w:fill="FFFFFF"/>
        </w:rPr>
        <w:t>Europian</w:t>
      </w:r>
      <w:proofErr w:type="spellEnd"/>
      <w:r w:rsidRPr="005729B1">
        <w:rPr>
          <w:rFonts w:asciiTheme="majorBidi" w:eastAsia="Calibri" w:hAnsiTheme="majorBidi" w:cstheme="majorBidi"/>
          <w:color w:val="auto"/>
          <w:sz w:val="24"/>
          <w:shd w:val="clear" w:color="auto" w:fill="FFFFFF"/>
        </w:rPr>
        <w:t xml:space="preserve"> Society of Endocrinology,</w:t>
      </w:r>
      <w:r>
        <w:rPr>
          <w:rFonts w:asciiTheme="majorBidi" w:eastAsia="Calibri" w:hAnsiTheme="majorBidi" w:cstheme="majorBidi"/>
          <w:color w:val="auto"/>
          <w:sz w:val="24"/>
          <w:shd w:val="clear" w:color="auto" w:fill="FFFFFF"/>
        </w:rPr>
        <w:t xml:space="preserve"> </w:t>
      </w:r>
      <w:r w:rsidRPr="005729B1">
        <w:rPr>
          <w:rFonts w:asciiTheme="majorBidi" w:eastAsia="Calibri" w:hAnsiTheme="majorBidi" w:cstheme="majorBidi"/>
          <w:color w:val="auto"/>
          <w:sz w:val="24"/>
          <w:shd w:val="clear" w:color="auto" w:fill="FFFFFF"/>
        </w:rPr>
        <w:t>EndocrineConnections.2024;13(3): e230428.</w:t>
      </w:r>
      <w:r w:rsidRPr="005729B1">
        <w:rPr>
          <w:rFonts w:asciiTheme="majorBidi" w:eastAsia="Calibri" w:hAnsiTheme="majorBidi" w:cstheme="majorBidi"/>
          <w:noProof/>
          <w:color w:val="auto"/>
          <w:sz w:val="24"/>
        </w:rPr>
        <w:t xml:space="preserve"> </w:t>
      </w:r>
      <w:r w:rsidRPr="00467293">
        <w:rPr>
          <w:rFonts w:asciiTheme="majorBidi" w:eastAsia="Calibri" w:hAnsiTheme="majorBidi" w:cstheme="majorBidi"/>
          <w:noProof/>
          <w:color w:val="4472C4" w:themeColor="accent1"/>
          <w:sz w:val="24"/>
          <w:u w:val="single"/>
        </w:rPr>
        <w:t>https:// doi.org /10. 1530/EC-23-0428</w:t>
      </w:r>
    </w:p>
    <w:p w14:paraId="22235F98" w14:textId="77777777" w:rsidR="005729B1" w:rsidRPr="005729B1" w:rsidRDefault="005729B1" w:rsidP="009F7112">
      <w:pPr>
        <w:tabs>
          <w:tab w:val="left" w:pos="2329"/>
        </w:tabs>
        <w:spacing w:after="0" w:line="240" w:lineRule="auto"/>
        <w:ind w:left="426" w:hanging="426"/>
        <w:contextualSpacing/>
        <w:jc w:val="both"/>
        <w:rPr>
          <w:rFonts w:asciiTheme="majorBidi" w:eastAsia="Calibri" w:hAnsiTheme="majorBidi" w:cstheme="majorBidi"/>
          <w:noProof/>
          <w:color w:val="auto"/>
          <w:sz w:val="24"/>
        </w:rPr>
      </w:pPr>
      <w:r w:rsidRPr="005729B1">
        <w:rPr>
          <w:rFonts w:asciiTheme="majorBidi" w:eastAsia="Calibri" w:hAnsiTheme="majorBidi" w:cstheme="majorBidi"/>
          <w:color w:val="auto"/>
          <w:sz w:val="24"/>
          <w:shd w:val="clear" w:color="auto" w:fill="FFFFFF"/>
        </w:rPr>
        <w:t xml:space="preserve">14. Ning DP, Xu K, Zhu HJ, et al. Serum glypican-4 levels are associated with metabolic syndrome in a Han population from Guizhou Province, China. Biomed Environ Sci. 2019;32(5):383-8. </w:t>
      </w:r>
    </w:p>
    <w:p w14:paraId="421710F4" w14:textId="2291AA2E" w:rsidR="005729B1" w:rsidRPr="005729B1" w:rsidRDefault="005729B1" w:rsidP="009E5DD6">
      <w:pPr>
        <w:tabs>
          <w:tab w:val="left" w:pos="2329"/>
        </w:tabs>
        <w:spacing w:after="0" w:line="240" w:lineRule="auto"/>
        <w:ind w:left="426" w:hanging="426"/>
        <w:contextualSpacing/>
        <w:jc w:val="both"/>
        <w:rPr>
          <w:rFonts w:asciiTheme="majorBidi" w:eastAsia="Calibri" w:hAnsiTheme="majorBidi" w:cstheme="majorBidi"/>
          <w:noProof/>
          <w:color w:val="auto"/>
          <w:sz w:val="24"/>
        </w:rPr>
      </w:pPr>
      <w:r w:rsidRPr="005729B1">
        <w:rPr>
          <w:rFonts w:asciiTheme="majorBidi" w:eastAsia="Calibri" w:hAnsiTheme="majorBidi" w:cstheme="majorBidi"/>
          <w:color w:val="auto"/>
          <w:sz w:val="24"/>
          <w:shd w:val="clear" w:color="auto" w:fill="FFFFFF"/>
        </w:rPr>
        <w:t>15.</w:t>
      </w:r>
      <w:r w:rsidRPr="005729B1">
        <w:rPr>
          <w:rFonts w:asciiTheme="majorBidi" w:eastAsia="Calibri" w:hAnsiTheme="majorBidi" w:cstheme="majorBidi"/>
          <w:color w:val="auto"/>
          <w:sz w:val="24"/>
        </w:rPr>
        <w:t xml:space="preserve"> </w:t>
      </w:r>
      <w:proofErr w:type="spellStart"/>
      <w:r w:rsidRPr="005729B1">
        <w:rPr>
          <w:rFonts w:asciiTheme="majorBidi" w:eastAsia="Calibri" w:hAnsiTheme="majorBidi" w:cstheme="majorBidi"/>
          <w:color w:val="auto"/>
          <w:sz w:val="24"/>
          <w:shd w:val="clear" w:color="auto" w:fill="FFFFFF"/>
        </w:rPr>
        <w:t>Leelalertlauw</w:t>
      </w:r>
      <w:proofErr w:type="spellEnd"/>
      <w:r w:rsidRPr="005729B1">
        <w:rPr>
          <w:rFonts w:asciiTheme="majorBidi" w:eastAsia="Calibri" w:hAnsiTheme="majorBidi" w:cstheme="majorBidi"/>
          <w:color w:val="auto"/>
          <w:sz w:val="24"/>
          <w:shd w:val="clear" w:color="auto" w:fill="FFFFFF"/>
        </w:rPr>
        <w:t xml:space="preserve"> C, </w:t>
      </w:r>
      <w:proofErr w:type="spellStart"/>
      <w:r w:rsidRPr="005729B1">
        <w:rPr>
          <w:rFonts w:asciiTheme="majorBidi" w:eastAsia="Calibri" w:hAnsiTheme="majorBidi" w:cstheme="majorBidi"/>
          <w:color w:val="auto"/>
          <w:sz w:val="24"/>
          <w:shd w:val="clear" w:color="auto" w:fill="FFFFFF"/>
        </w:rPr>
        <w:t>Korwutthikulrangsri</w:t>
      </w:r>
      <w:proofErr w:type="spellEnd"/>
      <w:r w:rsidRPr="005729B1">
        <w:rPr>
          <w:rFonts w:asciiTheme="majorBidi" w:eastAsia="Calibri" w:hAnsiTheme="majorBidi" w:cstheme="majorBidi"/>
          <w:color w:val="auto"/>
          <w:sz w:val="24"/>
          <w:shd w:val="clear" w:color="auto" w:fill="FFFFFF"/>
        </w:rPr>
        <w:t xml:space="preserve"> M, </w:t>
      </w:r>
      <w:proofErr w:type="spellStart"/>
      <w:r w:rsidRPr="005729B1">
        <w:rPr>
          <w:rFonts w:asciiTheme="majorBidi" w:eastAsia="Calibri" w:hAnsiTheme="majorBidi" w:cstheme="majorBidi"/>
          <w:color w:val="auto"/>
          <w:sz w:val="24"/>
          <w:shd w:val="clear" w:color="auto" w:fill="FFFFFF"/>
        </w:rPr>
        <w:t>Mahachoklertwattana</w:t>
      </w:r>
      <w:proofErr w:type="spellEnd"/>
      <w:r w:rsidRPr="005729B1">
        <w:rPr>
          <w:rFonts w:asciiTheme="majorBidi" w:eastAsia="Calibri" w:hAnsiTheme="majorBidi" w:cstheme="majorBidi"/>
          <w:color w:val="auto"/>
          <w:sz w:val="24"/>
          <w:shd w:val="clear" w:color="auto" w:fill="FFFFFF"/>
        </w:rPr>
        <w:t xml:space="preserve"> P, et al. Serum glypican 4 level in obese children and its relation to degree of obesity. Clin Endocrinol (</w:t>
      </w:r>
      <w:proofErr w:type="spellStart"/>
      <w:r w:rsidRPr="005729B1">
        <w:rPr>
          <w:rFonts w:asciiTheme="majorBidi" w:eastAsia="Calibri" w:hAnsiTheme="majorBidi" w:cstheme="majorBidi"/>
          <w:color w:val="auto"/>
          <w:sz w:val="24"/>
          <w:shd w:val="clear" w:color="auto" w:fill="FFFFFF"/>
        </w:rPr>
        <w:t>Oxf</w:t>
      </w:r>
      <w:proofErr w:type="spellEnd"/>
      <w:r w:rsidRPr="005729B1">
        <w:rPr>
          <w:rFonts w:asciiTheme="majorBidi" w:eastAsia="Calibri" w:hAnsiTheme="majorBidi" w:cstheme="majorBidi"/>
          <w:color w:val="auto"/>
          <w:sz w:val="24"/>
          <w:shd w:val="clear" w:color="auto" w:fill="FFFFFF"/>
        </w:rPr>
        <w:t>). 2017;87(6):689-95.</w:t>
      </w:r>
      <w:r w:rsidR="009E5DD6" w:rsidRPr="009E5DD6">
        <w:t xml:space="preserve"> </w:t>
      </w:r>
      <w:r w:rsidR="00910042" w:rsidRPr="00F332EB">
        <w:rPr>
          <w:rFonts w:asciiTheme="majorBidi" w:hAnsiTheme="majorBidi" w:cstheme="majorBidi"/>
          <w:color w:val="4472C4" w:themeColor="accent1"/>
          <w:sz w:val="24"/>
          <w:u w:val="single"/>
        </w:rPr>
        <w:t>https://doi.org/</w:t>
      </w:r>
      <w:r w:rsidR="009E5DD6" w:rsidRPr="009E5DD6">
        <w:rPr>
          <w:rFonts w:asciiTheme="majorBidi" w:eastAsia="Calibri" w:hAnsiTheme="majorBidi" w:cstheme="majorBidi"/>
          <w:color w:val="4472C4" w:themeColor="accent1"/>
          <w:sz w:val="24"/>
          <w:u w:val="single"/>
          <w:shd w:val="clear" w:color="auto" w:fill="FFFFFF"/>
        </w:rPr>
        <w:t>10.1111/cen.13435</w:t>
      </w:r>
    </w:p>
    <w:p w14:paraId="09F2261A" w14:textId="77777777" w:rsidR="005729B1" w:rsidRPr="005729B1" w:rsidRDefault="005729B1" w:rsidP="009F7112">
      <w:pPr>
        <w:tabs>
          <w:tab w:val="left" w:pos="2329"/>
        </w:tabs>
        <w:spacing w:after="0" w:line="240" w:lineRule="auto"/>
        <w:ind w:left="426" w:hanging="426"/>
        <w:contextualSpacing/>
        <w:jc w:val="both"/>
        <w:rPr>
          <w:rFonts w:asciiTheme="majorBidi" w:eastAsia="Calibri" w:hAnsiTheme="majorBidi" w:cstheme="majorBidi"/>
          <w:noProof/>
          <w:color w:val="auto"/>
          <w:sz w:val="24"/>
        </w:rPr>
      </w:pPr>
      <w:r w:rsidRPr="005729B1">
        <w:rPr>
          <w:rFonts w:asciiTheme="majorBidi" w:eastAsia="Calibri" w:hAnsiTheme="majorBidi" w:cstheme="majorBidi"/>
          <w:color w:val="auto"/>
          <w:sz w:val="24"/>
          <w:shd w:val="clear" w:color="auto" w:fill="FFFFFF"/>
        </w:rPr>
        <w:t xml:space="preserve">16. Yoo HJ, Hwang SY, Cho GJ, et al. Association of glypican-4 with body fat distribution, insulin resistance, and </w:t>
      </w:r>
      <w:proofErr w:type="spellStart"/>
      <w:r w:rsidRPr="005729B1">
        <w:rPr>
          <w:rFonts w:asciiTheme="majorBidi" w:eastAsia="Calibri" w:hAnsiTheme="majorBidi" w:cstheme="majorBidi"/>
          <w:color w:val="auto"/>
          <w:sz w:val="24"/>
          <w:shd w:val="clear" w:color="auto" w:fill="FFFFFF"/>
        </w:rPr>
        <w:t>nonalcoholic</w:t>
      </w:r>
      <w:proofErr w:type="spellEnd"/>
      <w:r w:rsidRPr="005729B1">
        <w:rPr>
          <w:rFonts w:asciiTheme="majorBidi" w:eastAsia="Calibri" w:hAnsiTheme="majorBidi" w:cstheme="majorBidi"/>
          <w:color w:val="auto"/>
          <w:sz w:val="24"/>
          <w:shd w:val="clear" w:color="auto" w:fill="FFFFFF"/>
        </w:rPr>
        <w:t xml:space="preserve"> fatty liver disease. J Clin Endocrinol </w:t>
      </w:r>
      <w:proofErr w:type="spellStart"/>
      <w:r w:rsidRPr="005729B1">
        <w:rPr>
          <w:rFonts w:asciiTheme="majorBidi" w:eastAsia="Calibri" w:hAnsiTheme="majorBidi" w:cstheme="majorBidi"/>
          <w:color w:val="auto"/>
          <w:sz w:val="24"/>
          <w:shd w:val="clear" w:color="auto" w:fill="FFFFFF"/>
        </w:rPr>
        <w:t>Metab</w:t>
      </w:r>
      <w:proofErr w:type="spellEnd"/>
      <w:r w:rsidRPr="005729B1">
        <w:rPr>
          <w:rFonts w:asciiTheme="majorBidi" w:eastAsia="Calibri" w:hAnsiTheme="majorBidi" w:cstheme="majorBidi"/>
          <w:color w:val="auto"/>
          <w:sz w:val="24"/>
          <w:shd w:val="clear" w:color="auto" w:fill="FFFFFF"/>
        </w:rPr>
        <w:t>. 2019;98(7):2897-901.</w:t>
      </w:r>
    </w:p>
    <w:p w14:paraId="29AC7589" w14:textId="22439D22" w:rsidR="005729B1" w:rsidRPr="005729B1" w:rsidRDefault="005729B1" w:rsidP="009E5DD6">
      <w:pPr>
        <w:tabs>
          <w:tab w:val="left" w:pos="2329"/>
        </w:tabs>
        <w:spacing w:after="0" w:line="240" w:lineRule="auto"/>
        <w:ind w:left="426" w:hanging="425"/>
        <w:contextualSpacing/>
        <w:jc w:val="both"/>
        <w:rPr>
          <w:rFonts w:asciiTheme="majorBidi" w:eastAsia="Calibri" w:hAnsiTheme="majorBidi" w:cstheme="majorBidi"/>
          <w:noProof/>
          <w:color w:val="auto"/>
          <w:sz w:val="24"/>
        </w:rPr>
      </w:pPr>
      <w:r w:rsidRPr="005729B1">
        <w:rPr>
          <w:rFonts w:asciiTheme="majorBidi" w:eastAsia="Calibri" w:hAnsiTheme="majorBidi" w:cstheme="majorBidi"/>
          <w:color w:val="auto"/>
          <w:sz w:val="24"/>
          <w:shd w:val="clear" w:color="auto" w:fill="FFFFFF"/>
        </w:rPr>
        <w:t xml:space="preserve">17. </w:t>
      </w:r>
      <w:proofErr w:type="spellStart"/>
      <w:r w:rsidRPr="005729B1">
        <w:rPr>
          <w:rFonts w:asciiTheme="majorBidi" w:eastAsia="Calibri" w:hAnsiTheme="majorBidi" w:cstheme="majorBidi"/>
          <w:color w:val="auto"/>
          <w:sz w:val="24"/>
          <w:shd w:val="clear" w:color="auto" w:fill="FFFFFF"/>
        </w:rPr>
        <w:t>Jędrzejuk</w:t>
      </w:r>
      <w:proofErr w:type="spellEnd"/>
      <w:r w:rsidRPr="005729B1">
        <w:rPr>
          <w:rFonts w:asciiTheme="majorBidi" w:eastAsia="Calibri" w:hAnsiTheme="majorBidi" w:cstheme="majorBidi"/>
          <w:color w:val="auto"/>
          <w:sz w:val="24"/>
          <w:shd w:val="clear" w:color="auto" w:fill="FFFFFF"/>
        </w:rPr>
        <w:t xml:space="preserve"> D, </w:t>
      </w:r>
      <w:proofErr w:type="spellStart"/>
      <w:r w:rsidRPr="005729B1">
        <w:rPr>
          <w:rFonts w:asciiTheme="majorBidi" w:eastAsia="Calibri" w:hAnsiTheme="majorBidi" w:cstheme="majorBidi"/>
          <w:color w:val="auto"/>
          <w:sz w:val="24"/>
          <w:shd w:val="clear" w:color="auto" w:fill="FFFFFF"/>
        </w:rPr>
        <w:t>Lwow</w:t>
      </w:r>
      <w:proofErr w:type="spellEnd"/>
      <w:r w:rsidRPr="005729B1">
        <w:rPr>
          <w:rFonts w:asciiTheme="majorBidi" w:eastAsia="Calibri" w:hAnsiTheme="majorBidi" w:cstheme="majorBidi"/>
          <w:color w:val="auto"/>
          <w:sz w:val="24"/>
          <w:shd w:val="clear" w:color="auto" w:fill="FFFFFF"/>
        </w:rPr>
        <w:t xml:space="preserve"> F, </w:t>
      </w:r>
      <w:proofErr w:type="spellStart"/>
      <w:r w:rsidRPr="005729B1">
        <w:rPr>
          <w:rFonts w:asciiTheme="majorBidi" w:eastAsia="Calibri" w:hAnsiTheme="majorBidi" w:cstheme="majorBidi"/>
          <w:color w:val="auto"/>
          <w:sz w:val="24"/>
          <w:shd w:val="clear" w:color="auto" w:fill="FFFFFF"/>
        </w:rPr>
        <w:t>Kuliczkowska-Płaksej</w:t>
      </w:r>
      <w:proofErr w:type="spellEnd"/>
      <w:r w:rsidRPr="005729B1">
        <w:rPr>
          <w:rFonts w:asciiTheme="majorBidi" w:eastAsia="Calibri" w:hAnsiTheme="majorBidi" w:cstheme="majorBidi"/>
          <w:color w:val="auto"/>
          <w:sz w:val="24"/>
          <w:shd w:val="clear" w:color="auto" w:fill="FFFFFF"/>
        </w:rPr>
        <w:t xml:space="preserve"> J, et al. Association of serum glypican-4 levels with cardiovascular risk predictors in women with polycystic ovary syndrome - a pilot study. </w:t>
      </w:r>
      <w:proofErr w:type="spellStart"/>
      <w:r w:rsidRPr="005729B1">
        <w:rPr>
          <w:rFonts w:asciiTheme="majorBidi" w:eastAsia="Calibri" w:hAnsiTheme="majorBidi" w:cstheme="majorBidi"/>
          <w:color w:val="auto"/>
          <w:sz w:val="24"/>
          <w:shd w:val="clear" w:color="auto" w:fill="FFFFFF"/>
        </w:rPr>
        <w:t>Gynecol</w:t>
      </w:r>
      <w:proofErr w:type="spellEnd"/>
      <w:r w:rsidRPr="005729B1">
        <w:rPr>
          <w:rFonts w:asciiTheme="majorBidi" w:eastAsia="Calibri" w:hAnsiTheme="majorBidi" w:cstheme="majorBidi"/>
          <w:color w:val="auto"/>
          <w:sz w:val="24"/>
          <w:shd w:val="clear" w:color="auto" w:fill="FFFFFF"/>
        </w:rPr>
        <w:t xml:space="preserve"> Endocrinol. 2016;32(3):223-6.</w:t>
      </w:r>
      <w:r w:rsidR="009E5DD6" w:rsidRPr="009E5DD6">
        <w:t xml:space="preserve"> </w:t>
      </w:r>
      <w:r w:rsidR="00910042" w:rsidRPr="00F332EB">
        <w:rPr>
          <w:rFonts w:asciiTheme="majorBidi" w:hAnsiTheme="majorBidi" w:cstheme="majorBidi"/>
          <w:color w:val="4472C4" w:themeColor="accent1"/>
          <w:sz w:val="24"/>
          <w:u w:val="single"/>
        </w:rPr>
        <w:t>https://doi.org/</w:t>
      </w:r>
      <w:r w:rsidR="009E5DD6" w:rsidRPr="009E5DD6">
        <w:rPr>
          <w:rFonts w:asciiTheme="majorBidi" w:eastAsia="Calibri" w:hAnsiTheme="majorBidi" w:cstheme="majorBidi"/>
          <w:color w:val="4472C4" w:themeColor="accent1"/>
          <w:sz w:val="24"/>
          <w:u w:val="single"/>
          <w:shd w:val="clear" w:color="auto" w:fill="FFFFFF"/>
        </w:rPr>
        <w:t>10.3109/09513590.2015.1110137</w:t>
      </w:r>
    </w:p>
    <w:p w14:paraId="5825C430" w14:textId="3A5BC07D" w:rsidR="005729B1" w:rsidRPr="005729B1" w:rsidRDefault="005729B1" w:rsidP="009E5DD6">
      <w:pPr>
        <w:tabs>
          <w:tab w:val="left" w:pos="2329"/>
        </w:tabs>
        <w:spacing w:after="0" w:line="240" w:lineRule="auto"/>
        <w:ind w:left="426" w:hanging="425"/>
        <w:contextualSpacing/>
        <w:jc w:val="both"/>
        <w:rPr>
          <w:rFonts w:asciiTheme="majorBidi" w:eastAsia="Calibri" w:hAnsiTheme="majorBidi" w:cstheme="majorBidi"/>
          <w:noProof/>
          <w:color w:val="auto"/>
          <w:sz w:val="24"/>
        </w:rPr>
      </w:pPr>
      <w:r w:rsidRPr="005729B1">
        <w:rPr>
          <w:rFonts w:asciiTheme="majorBidi" w:eastAsia="Calibri" w:hAnsiTheme="majorBidi" w:cstheme="majorBidi"/>
          <w:color w:val="auto"/>
          <w:sz w:val="24"/>
          <w:shd w:val="clear" w:color="auto" w:fill="FFFFFF"/>
        </w:rPr>
        <w:t xml:space="preserve">18. </w:t>
      </w:r>
      <w:proofErr w:type="spellStart"/>
      <w:r w:rsidRPr="005729B1">
        <w:rPr>
          <w:rFonts w:asciiTheme="majorBidi" w:eastAsia="Calibri" w:hAnsiTheme="majorBidi" w:cstheme="majorBidi"/>
          <w:color w:val="auto"/>
          <w:sz w:val="24"/>
          <w:shd w:val="clear" w:color="auto" w:fill="FFFFFF"/>
        </w:rPr>
        <w:t>Altinkaya</w:t>
      </w:r>
      <w:proofErr w:type="spellEnd"/>
      <w:r w:rsidRPr="005729B1">
        <w:rPr>
          <w:rFonts w:asciiTheme="majorBidi" w:eastAsia="Calibri" w:hAnsiTheme="majorBidi" w:cstheme="majorBidi"/>
          <w:color w:val="auto"/>
          <w:sz w:val="24"/>
          <w:shd w:val="clear" w:color="auto" w:fill="FFFFFF"/>
        </w:rPr>
        <w:t>, SO. Galanin and glypican-4 levels depending on metabolic and cardiovascular risk factors in patients with polycystic ovary syndrome. Archives of endocrinology and metabolism.2021; 65: 479-487.</w:t>
      </w:r>
      <w:r w:rsidRPr="005729B1">
        <w:rPr>
          <w:rFonts w:asciiTheme="majorBidi" w:eastAsia="Calibri" w:hAnsiTheme="majorBidi" w:cstheme="majorBidi"/>
          <w:color w:val="auto"/>
          <w:sz w:val="24"/>
          <w:shd w:val="clear" w:color="auto" w:fill="FFFFFF"/>
          <w:rtl/>
        </w:rPr>
        <w:t>‏</w:t>
      </w:r>
      <w:r w:rsidR="009E5DD6" w:rsidRPr="009E5DD6">
        <w:t xml:space="preserve"> </w:t>
      </w:r>
      <w:r w:rsidR="00910042" w:rsidRPr="00F332EB">
        <w:rPr>
          <w:rFonts w:asciiTheme="majorBidi" w:hAnsiTheme="majorBidi" w:cstheme="majorBidi"/>
          <w:color w:val="4472C4" w:themeColor="accent1"/>
          <w:sz w:val="24"/>
          <w:u w:val="single"/>
        </w:rPr>
        <w:t>https://doi.org/</w:t>
      </w:r>
      <w:r w:rsidR="009E5DD6" w:rsidRPr="009E5DD6">
        <w:rPr>
          <w:rFonts w:asciiTheme="majorBidi" w:eastAsia="Calibri" w:hAnsiTheme="majorBidi" w:cstheme="majorBidi"/>
          <w:color w:val="4472C4" w:themeColor="accent1"/>
          <w:sz w:val="24"/>
          <w:u w:val="single"/>
          <w:shd w:val="clear" w:color="auto" w:fill="FFFFFF"/>
        </w:rPr>
        <w:t>10.20945/2359-3997000000340</w:t>
      </w:r>
    </w:p>
    <w:p w14:paraId="3BE440DA" w14:textId="34CE9CB8" w:rsidR="005729B1" w:rsidRPr="005729B1" w:rsidRDefault="005729B1" w:rsidP="009F7112">
      <w:pPr>
        <w:tabs>
          <w:tab w:val="left" w:pos="2329"/>
        </w:tabs>
        <w:spacing w:after="0" w:line="240" w:lineRule="auto"/>
        <w:ind w:left="426" w:hanging="425"/>
        <w:contextualSpacing/>
        <w:jc w:val="both"/>
        <w:rPr>
          <w:rFonts w:asciiTheme="majorBidi" w:eastAsia="Calibri" w:hAnsiTheme="majorBidi" w:cstheme="majorBidi"/>
          <w:noProof/>
          <w:color w:val="auto"/>
          <w:sz w:val="24"/>
        </w:rPr>
      </w:pPr>
      <w:r w:rsidRPr="005729B1">
        <w:rPr>
          <w:rFonts w:asciiTheme="majorBidi" w:eastAsia="Calibri" w:hAnsiTheme="majorBidi" w:cstheme="majorBidi"/>
          <w:color w:val="auto"/>
          <w:sz w:val="24"/>
          <w:shd w:val="clear" w:color="auto" w:fill="FFFFFF"/>
        </w:rPr>
        <w:t xml:space="preserve">19. </w:t>
      </w:r>
      <w:proofErr w:type="spellStart"/>
      <w:r w:rsidRPr="005729B1">
        <w:rPr>
          <w:rFonts w:asciiTheme="majorBidi" w:eastAsia="Calibri" w:hAnsiTheme="majorBidi" w:cstheme="majorBidi"/>
          <w:color w:val="auto"/>
          <w:sz w:val="24"/>
          <w:shd w:val="clear" w:color="auto" w:fill="FFFFFF"/>
        </w:rPr>
        <w:t>Muendlein</w:t>
      </w:r>
      <w:proofErr w:type="spellEnd"/>
      <w:r w:rsidRPr="005729B1">
        <w:rPr>
          <w:rFonts w:asciiTheme="majorBidi" w:eastAsia="Calibri" w:hAnsiTheme="majorBidi" w:cstheme="majorBidi"/>
          <w:color w:val="auto"/>
          <w:sz w:val="24"/>
          <w:shd w:val="clear" w:color="auto" w:fill="FFFFFF"/>
        </w:rPr>
        <w:t xml:space="preserve"> A, et al. Serum glypican-4 is associated with the 10-year clinical outcome of patients with peripheral artery disease. International Journal of Cardiology.2022; 369: 54-59.</w:t>
      </w:r>
      <w:r w:rsidRPr="005729B1">
        <w:rPr>
          <w:rFonts w:asciiTheme="majorBidi" w:eastAsia="Calibri" w:hAnsiTheme="majorBidi" w:cstheme="majorBidi"/>
          <w:color w:val="auto"/>
          <w:sz w:val="24"/>
          <w:shd w:val="clear" w:color="auto" w:fill="FFFFFF"/>
          <w:rtl/>
        </w:rPr>
        <w:t>‏</w:t>
      </w:r>
      <w:r w:rsidR="009E5DD6" w:rsidRPr="009E5DD6">
        <w:t xml:space="preserve"> </w:t>
      </w:r>
      <w:r w:rsidR="00910042" w:rsidRPr="00F332EB">
        <w:rPr>
          <w:rFonts w:asciiTheme="majorBidi" w:hAnsiTheme="majorBidi" w:cstheme="majorBidi"/>
          <w:color w:val="4472C4" w:themeColor="accent1"/>
          <w:sz w:val="24"/>
          <w:u w:val="single"/>
        </w:rPr>
        <w:t>https://doi.org/</w:t>
      </w:r>
      <w:r w:rsidR="009E5DD6" w:rsidRPr="009E5DD6">
        <w:rPr>
          <w:rFonts w:asciiTheme="majorBidi" w:eastAsia="Calibri" w:hAnsiTheme="majorBidi" w:cstheme="majorBidi"/>
          <w:color w:val="4472C4" w:themeColor="accent1"/>
          <w:sz w:val="24"/>
          <w:u w:val="single"/>
          <w:shd w:val="clear" w:color="auto" w:fill="FFFFFF"/>
        </w:rPr>
        <w:t>10.1016/j.ijcard.2022.08.018</w:t>
      </w:r>
      <w:r w:rsidR="009E5DD6" w:rsidRPr="009E5DD6">
        <w:rPr>
          <w:rFonts w:asciiTheme="majorBidi" w:eastAsia="Calibri" w:hAnsiTheme="majorBidi" w:cstheme="majorBidi"/>
          <w:color w:val="4472C4" w:themeColor="accent1"/>
          <w:sz w:val="24"/>
          <w:shd w:val="clear" w:color="auto" w:fill="FFFFFF"/>
        </w:rPr>
        <w:t xml:space="preserve">  </w:t>
      </w:r>
    </w:p>
    <w:p w14:paraId="3E98B5C0" w14:textId="4C80AC5B" w:rsidR="005729B1" w:rsidRPr="005729B1" w:rsidRDefault="005729B1" w:rsidP="00345372">
      <w:pPr>
        <w:tabs>
          <w:tab w:val="left" w:pos="2329"/>
        </w:tabs>
        <w:spacing w:after="0" w:line="240" w:lineRule="auto"/>
        <w:ind w:left="426" w:hanging="426"/>
        <w:contextualSpacing/>
        <w:jc w:val="both"/>
        <w:rPr>
          <w:rFonts w:asciiTheme="majorBidi" w:eastAsia="Calibri" w:hAnsiTheme="majorBidi" w:cstheme="majorBidi"/>
          <w:color w:val="auto"/>
          <w:sz w:val="24"/>
          <w:shd w:val="clear" w:color="auto" w:fill="FFFFFF"/>
        </w:rPr>
      </w:pPr>
      <w:r w:rsidRPr="005729B1">
        <w:rPr>
          <w:rFonts w:asciiTheme="majorBidi" w:eastAsia="Calibri" w:hAnsiTheme="majorBidi" w:cstheme="majorBidi"/>
          <w:color w:val="auto"/>
          <w:sz w:val="24"/>
          <w:shd w:val="clear" w:color="auto" w:fill="FFFFFF"/>
        </w:rPr>
        <w:t xml:space="preserve">20. </w:t>
      </w:r>
      <w:proofErr w:type="spellStart"/>
      <w:r w:rsidRPr="005729B1">
        <w:rPr>
          <w:rFonts w:asciiTheme="majorBidi" w:eastAsia="Calibri" w:hAnsiTheme="majorBidi" w:cstheme="majorBidi"/>
          <w:color w:val="auto"/>
          <w:sz w:val="24"/>
          <w:shd w:val="clear" w:color="auto" w:fill="FFFFFF"/>
        </w:rPr>
        <w:t>Muendlein</w:t>
      </w:r>
      <w:proofErr w:type="spellEnd"/>
      <w:r w:rsidRPr="005729B1">
        <w:rPr>
          <w:rFonts w:asciiTheme="majorBidi" w:eastAsia="Calibri" w:hAnsiTheme="majorBidi" w:cstheme="majorBidi"/>
          <w:color w:val="auto"/>
          <w:sz w:val="24"/>
          <w:shd w:val="clear" w:color="auto" w:fill="FFFFFF"/>
        </w:rPr>
        <w:t xml:space="preserve"> A, </w:t>
      </w:r>
      <w:proofErr w:type="spellStart"/>
      <w:r w:rsidRPr="005729B1">
        <w:rPr>
          <w:rFonts w:asciiTheme="majorBidi" w:eastAsia="Calibri" w:hAnsiTheme="majorBidi" w:cstheme="majorBidi"/>
          <w:color w:val="auto"/>
          <w:sz w:val="24"/>
          <w:shd w:val="clear" w:color="auto" w:fill="FFFFFF"/>
        </w:rPr>
        <w:t>Leiherer</w:t>
      </w:r>
      <w:proofErr w:type="spellEnd"/>
      <w:r w:rsidRPr="005729B1">
        <w:rPr>
          <w:rFonts w:asciiTheme="majorBidi" w:eastAsia="Calibri" w:hAnsiTheme="majorBidi" w:cstheme="majorBidi"/>
          <w:color w:val="auto"/>
          <w:sz w:val="24"/>
          <w:shd w:val="clear" w:color="auto" w:fill="FFFFFF"/>
        </w:rPr>
        <w:t xml:space="preserve"> A, and Drexel H. Evaluation of circulating glypican 4 as a novel biomarker in disease–A comprehensive review. Journal of Molecular Medicine.2025; 103(4): 355-364</w:t>
      </w:r>
      <w:r w:rsidR="00910042" w:rsidRPr="00910042">
        <w:rPr>
          <w:rFonts w:asciiTheme="majorBidi" w:hAnsiTheme="majorBidi" w:cstheme="majorBidi"/>
          <w:color w:val="4472C4" w:themeColor="accent1"/>
          <w:sz w:val="24"/>
          <w:u w:val="single"/>
        </w:rPr>
        <w:t xml:space="preserve"> </w:t>
      </w:r>
      <w:r w:rsidR="00910042" w:rsidRPr="00F332EB">
        <w:rPr>
          <w:rFonts w:asciiTheme="majorBidi" w:hAnsiTheme="majorBidi" w:cstheme="majorBidi"/>
          <w:color w:val="4472C4" w:themeColor="accent1"/>
          <w:sz w:val="24"/>
          <w:u w:val="single"/>
        </w:rPr>
        <w:t>https://doi.org/</w:t>
      </w:r>
      <w:r w:rsidR="00345372" w:rsidRPr="00345372">
        <w:rPr>
          <w:rFonts w:asciiTheme="majorBidi" w:eastAsia="Calibri" w:hAnsiTheme="majorBidi" w:cstheme="majorBidi"/>
          <w:color w:val="4472C4" w:themeColor="accent1"/>
          <w:sz w:val="24"/>
          <w:u w:val="single"/>
          <w:shd w:val="clear" w:color="auto" w:fill="FFFFFF"/>
        </w:rPr>
        <w:t>10.1007/s00109-025-02520-5</w:t>
      </w:r>
    </w:p>
    <w:p w14:paraId="03815654" w14:textId="0EE6091C" w:rsidR="005729B1" w:rsidRPr="005729B1" w:rsidRDefault="005729B1" w:rsidP="009F7112">
      <w:pPr>
        <w:spacing w:after="0" w:line="240" w:lineRule="auto"/>
        <w:ind w:left="426" w:hanging="426"/>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rPr>
        <w:t xml:space="preserve">21-Mahmoud FA, and Saber ZM. Ranges of Body Mass Index (BMI) in Iraqi Women     Patients </w:t>
      </w:r>
      <w:r w:rsidR="009F7112">
        <w:rPr>
          <w:rFonts w:asciiTheme="majorBidi" w:eastAsia="Calibri" w:hAnsiTheme="majorBidi" w:cstheme="majorBidi"/>
          <w:color w:val="auto"/>
          <w:sz w:val="24"/>
        </w:rPr>
        <w:t xml:space="preserve">  </w:t>
      </w:r>
      <w:r w:rsidRPr="005729B1">
        <w:rPr>
          <w:rFonts w:asciiTheme="majorBidi" w:eastAsia="Calibri" w:hAnsiTheme="majorBidi" w:cstheme="majorBidi"/>
          <w:color w:val="auto"/>
          <w:sz w:val="24"/>
        </w:rPr>
        <w:t>with Polycystic Ovary Syndrome. HIV Nursing. 2023;23(2):001–004.</w:t>
      </w:r>
    </w:p>
    <w:p w14:paraId="13D9843F" w14:textId="44EF0A77" w:rsidR="005729B1" w:rsidRPr="005729B1" w:rsidRDefault="005729B1" w:rsidP="009F7112">
      <w:pPr>
        <w:spacing w:after="0" w:line="240" w:lineRule="auto"/>
        <w:ind w:left="426" w:hanging="426"/>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rPr>
        <w:t xml:space="preserve">22-Şahin AY, Baş F, YETİM Ç, et al. Determination of insulin resistance and its relationship with </w:t>
      </w:r>
      <w:proofErr w:type="spellStart"/>
      <w:r w:rsidRPr="005729B1">
        <w:rPr>
          <w:rFonts w:asciiTheme="majorBidi" w:eastAsia="Calibri" w:hAnsiTheme="majorBidi" w:cstheme="majorBidi"/>
          <w:color w:val="auto"/>
          <w:sz w:val="24"/>
        </w:rPr>
        <w:t>hyperandrogenemia</w:t>
      </w:r>
      <w:proofErr w:type="spellEnd"/>
      <w:r w:rsidRPr="005729B1">
        <w:rPr>
          <w:rFonts w:asciiTheme="majorBidi" w:eastAsia="Calibri" w:hAnsiTheme="majorBidi" w:cstheme="majorBidi"/>
          <w:color w:val="auto"/>
          <w:sz w:val="24"/>
        </w:rPr>
        <w:t>, anti-Müllerian hormone, inhibin A, inhibin B, and insulin-like peptide-3 levels in adolescent girls with polycystic ovary syndrome. Turkish Journal of Medical Sciences. 2019;49(4):1117-1125.</w:t>
      </w:r>
      <w:r w:rsidR="00327FE7" w:rsidRPr="00327FE7">
        <w:t xml:space="preserve"> </w:t>
      </w:r>
      <w:r w:rsidR="00910042" w:rsidRPr="00F332EB">
        <w:rPr>
          <w:rFonts w:asciiTheme="majorBidi" w:hAnsiTheme="majorBidi" w:cstheme="majorBidi"/>
          <w:color w:val="4472C4" w:themeColor="accent1"/>
          <w:sz w:val="24"/>
          <w:u w:val="single"/>
        </w:rPr>
        <w:t>https://doi.org/</w:t>
      </w:r>
      <w:r w:rsidR="00327FE7" w:rsidRPr="00327FE7">
        <w:rPr>
          <w:rFonts w:asciiTheme="majorBidi" w:eastAsia="Calibri" w:hAnsiTheme="majorBidi" w:cstheme="majorBidi"/>
          <w:color w:val="4472C4" w:themeColor="accent1"/>
          <w:sz w:val="24"/>
          <w:u w:val="single"/>
        </w:rPr>
        <w:t>10.3906/sag-1808-52</w:t>
      </w:r>
      <w:r w:rsidR="00327FE7" w:rsidRPr="00327FE7">
        <w:rPr>
          <w:rFonts w:asciiTheme="majorBidi" w:eastAsia="Calibri" w:hAnsiTheme="majorBidi" w:cstheme="majorBidi"/>
          <w:color w:val="4472C4" w:themeColor="accent1"/>
          <w:sz w:val="24"/>
        </w:rPr>
        <w:t xml:space="preserve">  </w:t>
      </w:r>
    </w:p>
    <w:p w14:paraId="1AB3336A" w14:textId="438B21A2" w:rsidR="005729B1" w:rsidRPr="00327FE7" w:rsidRDefault="005729B1" w:rsidP="00327FE7">
      <w:pPr>
        <w:spacing w:after="0" w:line="240" w:lineRule="auto"/>
        <w:ind w:left="426" w:hanging="426"/>
        <w:contextualSpacing/>
        <w:jc w:val="both"/>
        <w:rPr>
          <w:rFonts w:asciiTheme="majorBidi" w:eastAsia="Calibri" w:hAnsiTheme="majorBidi" w:cstheme="majorBidi"/>
          <w:color w:val="4472C4" w:themeColor="accent1"/>
          <w:sz w:val="24"/>
          <w:u w:val="single"/>
          <w:lang w:bidi="ar-IQ"/>
        </w:rPr>
      </w:pPr>
      <w:r w:rsidRPr="005729B1">
        <w:rPr>
          <w:rFonts w:asciiTheme="majorBidi" w:eastAsia="Calibri" w:hAnsiTheme="majorBidi" w:cstheme="majorBidi"/>
          <w:color w:val="auto"/>
          <w:sz w:val="24"/>
        </w:rPr>
        <w:t xml:space="preserve">23-Fuentes N, Silveyra P, States U, and Hill C. </w:t>
      </w:r>
      <w:proofErr w:type="spellStart"/>
      <w:r w:rsidRPr="005729B1">
        <w:rPr>
          <w:rFonts w:asciiTheme="majorBidi" w:eastAsia="Calibri" w:hAnsiTheme="majorBidi" w:cstheme="majorBidi"/>
          <w:color w:val="auto"/>
          <w:sz w:val="24"/>
        </w:rPr>
        <w:t>Estrogen</w:t>
      </w:r>
      <w:proofErr w:type="spellEnd"/>
      <w:r w:rsidRPr="005729B1">
        <w:rPr>
          <w:rFonts w:asciiTheme="majorBidi" w:eastAsia="Calibri" w:hAnsiTheme="majorBidi" w:cstheme="majorBidi"/>
          <w:color w:val="auto"/>
          <w:sz w:val="24"/>
        </w:rPr>
        <w:t xml:space="preserve"> receptor </w:t>
      </w:r>
      <w:proofErr w:type="spellStart"/>
      <w:r w:rsidRPr="005729B1">
        <w:rPr>
          <w:rFonts w:asciiTheme="majorBidi" w:eastAsia="Calibri" w:hAnsiTheme="majorBidi" w:cstheme="majorBidi"/>
          <w:color w:val="auto"/>
          <w:sz w:val="24"/>
        </w:rPr>
        <w:t>signaling</w:t>
      </w:r>
      <w:proofErr w:type="spellEnd"/>
      <w:r w:rsidRPr="005729B1">
        <w:rPr>
          <w:rFonts w:asciiTheme="majorBidi" w:eastAsia="Calibri" w:hAnsiTheme="majorBidi" w:cstheme="majorBidi"/>
          <w:color w:val="auto"/>
          <w:sz w:val="24"/>
        </w:rPr>
        <w:t xml:space="preserve"> mechanisms. Adv Protein Chem Struct </w:t>
      </w:r>
      <w:proofErr w:type="spellStart"/>
      <w:r w:rsidRPr="005729B1">
        <w:rPr>
          <w:rFonts w:asciiTheme="majorBidi" w:eastAsia="Calibri" w:hAnsiTheme="majorBidi" w:cstheme="majorBidi"/>
          <w:color w:val="auto"/>
          <w:sz w:val="24"/>
        </w:rPr>
        <w:t>Biol</w:t>
      </w:r>
      <w:proofErr w:type="spellEnd"/>
      <w:r w:rsidRPr="005729B1">
        <w:rPr>
          <w:rFonts w:asciiTheme="majorBidi" w:eastAsia="Calibri" w:hAnsiTheme="majorBidi" w:cstheme="majorBidi"/>
          <w:color w:val="auto"/>
          <w:sz w:val="24"/>
        </w:rPr>
        <w:t xml:space="preserve"> 2019; 116:135-170. </w:t>
      </w:r>
      <w:r w:rsidR="00910042" w:rsidRPr="00F332EB">
        <w:rPr>
          <w:rFonts w:asciiTheme="majorBidi" w:hAnsiTheme="majorBidi" w:cstheme="majorBidi"/>
          <w:color w:val="4472C4" w:themeColor="accent1"/>
          <w:sz w:val="24"/>
          <w:u w:val="single"/>
        </w:rPr>
        <w:t>https://doi.org/</w:t>
      </w:r>
      <w:r w:rsidR="00327FE7" w:rsidRPr="00327FE7">
        <w:rPr>
          <w:rFonts w:asciiTheme="majorBidi" w:eastAsia="Calibri" w:hAnsiTheme="majorBidi" w:cstheme="majorBidi"/>
          <w:color w:val="4472C4" w:themeColor="accent1"/>
          <w:sz w:val="24"/>
          <w:u w:val="single"/>
        </w:rPr>
        <w:t>10.1016/bs.apcsb.2019.01.001</w:t>
      </w:r>
    </w:p>
    <w:p w14:paraId="67C82AC5" w14:textId="5A9523E5" w:rsidR="005729B1" w:rsidRPr="00327FE7" w:rsidRDefault="005729B1" w:rsidP="009F7112">
      <w:pPr>
        <w:spacing w:after="0" w:line="240" w:lineRule="auto"/>
        <w:ind w:left="426" w:hanging="426"/>
        <w:contextualSpacing/>
        <w:jc w:val="both"/>
        <w:rPr>
          <w:rFonts w:asciiTheme="majorBidi" w:eastAsia="Calibri" w:hAnsiTheme="majorBidi" w:cstheme="majorBidi"/>
          <w:color w:val="4472C4" w:themeColor="accent1"/>
          <w:sz w:val="24"/>
          <w:u w:val="single"/>
          <w:lang w:bidi="ar-IQ"/>
        </w:rPr>
      </w:pPr>
      <w:r w:rsidRPr="005729B1">
        <w:rPr>
          <w:rFonts w:asciiTheme="majorBidi" w:eastAsia="Calibri" w:hAnsiTheme="majorBidi" w:cstheme="majorBidi"/>
          <w:color w:val="auto"/>
          <w:sz w:val="24"/>
        </w:rPr>
        <w:t xml:space="preserve">24-Khattak M, Sultana N, Khattak AF, Usman R, and Khattak A. Comparison </w:t>
      </w:r>
      <w:r>
        <w:rPr>
          <w:rFonts w:asciiTheme="majorBidi" w:eastAsia="Calibri" w:hAnsiTheme="majorBidi" w:cstheme="majorBidi"/>
          <w:color w:val="auto"/>
          <w:sz w:val="24"/>
        </w:rPr>
        <w:t>O</w:t>
      </w:r>
      <w:r w:rsidRPr="005729B1">
        <w:rPr>
          <w:rFonts w:asciiTheme="majorBidi" w:eastAsia="Calibri" w:hAnsiTheme="majorBidi" w:cstheme="majorBidi"/>
          <w:color w:val="auto"/>
          <w:sz w:val="24"/>
        </w:rPr>
        <w:t xml:space="preserve">f </w:t>
      </w:r>
      <w:proofErr w:type="spellStart"/>
      <w:r w:rsidRPr="005729B1">
        <w:rPr>
          <w:rFonts w:asciiTheme="majorBidi" w:eastAsia="Calibri" w:hAnsiTheme="majorBidi" w:cstheme="majorBidi"/>
          <w:color w:val="auto"/>
          <w:sz w:val="24"/>
        </w:rPr>
        <w:t>Estradiol</w:t>
      </w:r>
      <w:proofErr w:type="spellEnd"/>
      <w:r w:rsidRPr="005729B1">
        <w:rPr>
          <w:rFonts w:asciiTheme="majorBidi" w:eastAsia="Calibri" w:hAnsiTheme="majorBidi" w:cstheme="majorBidi"/>
          <w:color w:val="auto"/>
          <w:sz w:val="24"/>
        </w:rPr>
        <w:t xml:space="preserve"> To Sex Hormone Binding Globulin Ratio In Polycystic Ovary Syndrome And </w:t>
      </w:r>
      <w:proofErr w:type="spellStart"/>
      <w:r w:rsidRPr="005729B1">
        <w:rPr>
          <w:rFonts w:asciiTheme="majorBidi" w:eastAsia="Calibri" w:hAnsiTheme="majorBidi" w:cstheme="majorBidi"/>
          <w:color w:val="auto"/>
          <w:sz w:val="24"/>
        </w:rPr>
        <w:t>NonPolycystic</w:t>
      </w:r>
      <w:proofErr w:type="spellEnd"/>
      <w:r w:rsidRPr="005729B1">
        <w:rPr>
          <w:rFonts w:asciiTheme="majorBidi" w:eastAsia="Calibri" w:hAnsiTheme="majorBidi" w:cstheme="majorBidi"/>
          <w:color w:val="auto"/>
          <w:sz w:val="24"/>
        </w:rPr>
        <w:t xml:space="preserve"> Ovary Syndrome Infertile Patients. Advances in Basic Medical Science 2022; 6(1):20–23.</w:t>
      </w:r>
      <w:r w:rsidR="00327FE7" w:rsidRPr="00327FE7">
        <w:t xml:space="preserve"> </w:t>
      </w:r>
      <w:r w:rsidR="00910042" w:rsidRPr="00F332EB">
        <w:rPr>
          <w:rFonts w:asciiTheme="majorBidi" w:hAnsiTheme="majorBidi" w:cstheme="majorBidi"/>
          <w:color w:val="4472C4" w:themeColor="accent1"/>
          <w:sz w:val="24"/>
          <w:u w:val="single"/>
        </w:rPr>
        <w:t>https://doi.org/</w:t>
      </w:r>
      <w:r w:rsidR="00327FE7" w:rsidRPr="00327FE7">
        <w:rPr>
          <w:rFonts w:asciiTheme="majorBidi" w:eastAsia="Calibri" w:hAnsiTheme="majorBidi" w:cstheme="majorBidi"/>
          <w:color w:val="4472C4" w:themeColor="accent1"/>
          <w:sz w:val="24"/>
          <w:u w:val="single"/>
        </w:rPr>
        <w:t xml:space="preserve">10.35845/abms.2022.1.213  </w:t>
      </w:r>
    </w:p>
    <w:p w14:paraId="051DA96D" w14:textId="05D8E6A8" w:rsidR="005729B1" w:rsidRPr="005729B1" w:rsidRDefault="005729B1" w:rsidP="00327FE7">
      <w:pPr>
        <w:spacing w:after="0" w:line="240" w:lineRule="auto"/>
        <w:ind w:left="426" w:hanging="426"/>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rPr>
        <w:t>25- Coyle C, and Campbell RE. Pathological pulses in PCOS. Molecular and Cellular Endocrinology.2019; 498(July), 110561.</w:t>
      </w:r>
      <w:r w:rsidR="00327FE7" w:rsidRPr="00327FE7">
        <w:t xml:space="preserve"> </w:t>
      </w:r>
      <w:r w:rsidR="00910042" w:rsidRPr="00F332EB">
        <w:rPr>
          <w:rFonts w:asciiTheme="majorBidi" w:hAnsiTheme="majorBidi" w:cstheme="majorBidi"/>
          <w:color w:val="4472C4" w:themeColor="accent1"/>
          <w:sz w:val="24"/>
          <w:u w:val="single"/>
        </w:rPr>
        <w:t>https://doi.org/</w:t>
      </w:r>
      <w:r w:rsidR="00327FE7" w:rsidRPr="00327FE7">
        <w:rPr>
          <w:rFonts w:asciiTheme="majorBidi" w:eastAsia="Calibri" w:hAnsiTheme="majorBidi" w:cstheme="majorBidi"/>
          <w:color w:val="4472C4" w:themeColor="accent1"/>
          <w:sz w:val="24"/>
          <w:u w:val="single"/>
        </w:rPr>
        <w:t>10.1016/j.mce.2019.110561</w:t>
      </w:r>
    </w:p>
    <w:p w14:paraId="5DF9769D" w14:textId="37458FB4" w:rsidR="005729B1" w:rsidRPr="005729B1" w:rsidRDefault="005729B1" w:rsidP="00327FE7">
      <w:pPr>
        <w:spacing w:after="0" w:line="240" w:lineRule="auto"/>
        <w:ind w:left="426" w:hanging="426"/>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rPr>
        <w:t xml:space="preserve">26-Khan MJ, Ullah A, and Basit S. Genetic Basis of Polycystic Ovary Syndrome (PCOS): Current Perspectives. </w:t>
      </w:r>
      <w:r w:rsidRPr="005729B1">
        <w:rPr>
          <w:rFonts w:asciiTheme="majorBidi" w:eastAsia="Calibri" w:hAnsiTheme="majorBidi" w:cstheme="majorBidi"/>
          <w:color w:val="auto"/>
          <w:sz w:val="24"/>
          <w:lang w:bidi="ar-IQ"/>
        </w:rPr>
        <w:t>Appl Clin Genet. 2019; 24(12):249-260.</w:t>
      </w:r>
      <w:r w:rsidRPr="005729B1">
        <w:rPr>
          <w:rFonts w:asciiTheme="majorBidi" w:eastAsia="Calibri" w:hAnsiTheme="majorBidi" w:cstheme="majorBidi"/>
          <w:color w:val="auto"/>
          <w:sz w:val="24"/>
        </w:rPr>
        <w:t xml:space="preserve"> </w:t>
      </w:r>
      <w:r w:rsidR="00910042" w:rsidRPr="00F332EB">
        <w:rPr>
          <w:rFonts w:asciiTheme="majorBidi" w:hAnsiTheme="majorBidi" w:cstheme="majorBidi"/>
          <w:color w:val="4472C4" w:themeColor="accent1"/>
          <w:sz w:val="24"/>
          <w:u w:val="single"/>
        </w:rPr>
        <w:t>https://doi.org/</w:t>
      </w:r>
      <w:r w:rsidR="00327FE7" w:rsidRPr="00327FE7">
        <w:rPr>
          <w:rFonts w:asciiTheme="majorBidi" w:eastAsia="Calibri" w:hAnsiTheme="majorBidi" w:cstheme="majorBidi"/>
          <w:color w:val="auto"/>
          <w:sz w:val="24"/>
        </w:rPr>
        <w:t xml:space="preserve"> </w:t>
      </w:r>
      <w:r w:rsidR="00327FE7" w:rsidRPr="00327FE7">
        <w:rPr>
          <w:rFonts w:asciiTheme="majorBidi" w:eastAsia="Calibri" w:hAnsiTheme="majorBidi" w:cstheme="majorBidi"/>
          <w:color w:val="4472C4" w:themeColor="accent1"/>
          <w:sz w:val="24"/>
          <w:u w:val="single"/>
        </w:rPr>
        <w:t>10.2147/TACG.S200341</w:t>
      </w:r>
    </w:p>
    <w:p w14:paraId="464851D5" w14:textId="0FA77E75" w:rsidR="005729B1" w:rsidRPr="005729B1" w:rsidRDefault="005729B1" w:rsidP="00327FE7">
      <w:pPr>
        <w:spacing w:after="0" w:line="240" w:lineRule="auto"/>
        <w:ind w:left="426" w:hanging="426"/>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rPr>
        <w:lastRenderedPageBreak/>
        <w:t xml:space="preserve">27-Witchel SF, </w:t>
      </w:r>
      <w:proofErr w:type="spellStart"/>
      <w:r w:rsidRPr="005729B1">
        <w:rPr>
          <w:rFonts w:asciiTheme="majorBidi" w:eastAsia="Calibri" w:hAnsiTheme="majorBidi" w:cstheme="majorBidi"/>
          <w:color w:val="auto"/>
          <w:sz w:val="24"/>
        </w:rPr>
        <w:t>Oberfield</w:t>
      </w:r>
      <w:proofErr w:type="spellEnd"/>
      <w:r w:rsidRPr="005729B1">
        <w:rPr>
          <w:rFonts w:asciiTheme="majorBidi" w:eastAsia="Calibri" w:hAnsiTheme="majorBidi" w:cstheme="majorBidi"/>
          <w:color w:val="auto"/>
          <w:sz w:val="24"/>
        </w:rPr>
        <w:t xml:space="preserve"> SE, and Peña AS. Polycystic Ovary Syndrome: Pathophysiology, Presentation, and Treatment with Emphasis on Adolescent Girls. Journal of the Endocrine Society, 2019; 3(8):1545–1573.</w:t>
      </w:r>
      <w:r w:rsidR="00327FE7" w:rsidRPr="00327FE7">
        <w:t xml:space="preserve"> </w:t>
      </w:r>
      <w:r w:rsidR="00910042" w:rsidRPr="00F332EB">
        <w:rPr>
          <w:rFonts w:asciiTheme="majorBidi" w:hAnsiTheme="majorBidi" w:cstheme="majorBidi"/>
          <w:color w:val="4472C4" w:themeColor="accent1"/>
          <w:sz w:val="24"/>
          <w:u w:val="single"/>
        </w:rPr>
        <w:t>https://doi.org/</w:t>
      </w:r>
      <w:r w:rsidR="00327FE7" w:rsidRPr="00327FE7">
        <w:rPr>
          <w:rFonts w:asciiTheme="majorBidi" w:eastAsia="Calibri" w:hAnsiTheme="majorBidi" w:cstheme="majorBidi"/>
          <w:color w:val="4472C4" w:themeColor="accent1"/>
          <w:sz w:val="24"/>
          <w:u w:val="single"/>
        </w:rPr>
        <w:t>10.1210/js.2019-00078</w:t>
      </w:r>
    </w:p>
    <w:p w14:paraId="5F782853" w14:textId="1B486624" w:rsidR="005729B1" w:rsidRPr="008247CE" w:rsidRDefault="005729B1" w:rsidP="008247CE">
      <w:pPr>
        <w:spacing w:after="0" w:line="240" w:lineRule="auto"/>
        <w:ind w:left="426" w:hanging="426"/>
        <w:contextualSpacing/>
        <w:jc w:val="both"/>
        <w:rPr>
          <w:rFonts w:asciiTheme="majorBidi" w:eastAsia="Calibri" w:hAnsiTheme="majorBidi" w:cstheme="majorBidi"/>
          <w:color w:val="auto"/>
        </w:rPr>
      </w:pPr>
      <w:r w:rsidRPr="005729B1">
        <w:rPr>
          <w:rFonts w:asciiTheme="majorBidi" w:eastAsia="Calibri" w:hAnsiTheme="majorBidi" w:cstheme="majorBidi"/>
          <w:color w:val="auto"/>
          <w:sz w:val="24"/>
        </w:rPr>
        <w:t xml:space="preserve">28- Xing C, Zhang J, Zhao H, and He B. Effect of Sex Hormone-Binding Globulin on Polycystic Ovary Syndrome: Mechanisms, Manifestations, Genetics, and Treatment. Int J </w:t>
      </w:r>
      <w:proofErr w:type="spellStart"/>
      <w:r w:rsidRPr="005729B1">
        <w:rPr>
          <w:rFonts w:asciiTheme="majorBidi" w:eastAsia="Calibri" w:hAnsiTheme="majorBidi" w:cstheme="majorBidi"/>
          <w:color w:val="auto"/>
          <w:sz w:val="24"/>
        </w:rPr>
        <w:t>Womens</w:t>
      </w:r>
      <w:proofErr w:type="spellEnd"/>
      <w:r w:rsidRPr="005729B1">
        <w:rPr>
          <w:rFonts w:asciiTheme="majorBidi" w:eastAsia="Calibri" w:hAnsiTheme="majorBidi" w:cstheme="majorBidi"/>
          <w:color w:val="auto"/>
          <w:sz w:val="24"/>
        </w:rPr>
        <w:t xml:space="preserve"> Health 2022; 2(14):91–105.</w:t>
      </w:r>
      <w:r w:rsidR="00B35F49" w:rsidRPr="00B35F49">
        <w:rPr>
          <w:rFonts w:ascii="Times New Roman" w:eastAsia="Times New Roman" w:hAnsi="Times New Roman" w:cs="Times New Roman"/>
          <w:color w:val="auto"/>
          <w:kern w:val="0"/>
          <w:sz w:val="24"/>
          <w:lang w:eastAsia="en-GB"/>
          <w14:ligatures w14:val="none"/>
        </w:rPr>
        <w:t xml:space="preserve"> </w:t>
      </w:r>
      <w:r w:rsidR="00910042" w:rsidRPr="00F332EB">
        <w:rPr>
          <w:rFonts w:asciiTheme="majorBidi" w:hAnsiTheme="majorBidi" w:cstheme="majorBidi"/>
          <w:color w:val="4472C4" w:themeColor="accent1"/>
          <w:sz w:val="24"/>
          <w:u w:val="single"/>
        </w:rPr>
        <w:t>https://doi.org/</w:t>
      </w:r>
      <w:r w:rsidR="00B35F49" w:rsidRPr="00B35F49">
        <w:rPr>
          <w:rFonts w:asciiTheme="majorBidi" w:eastAsia="Calibri" w:hAnsiTheme="majorBidi" w:cstheme="majorBidi"/>
          <w:color w:val="4472C4" w:themeColor="accent1"/>
          <w:sz w:val="24"/>
          <w:szCs w:val="16"/>
          <w:u w:val="single"/>
        </w:rPr>
        <w:t xml:space="preserve">10.2147/IJWH.S344542 </w:t>
      </w:r>
    </w:p>
    <w:p w14:paraId="1FAFF117" w14:textId="3F44DED5" w:rsidR="005729B1" w:rsidRPr="005729B1" w:rsidRDefault="005729B1" w:rsidP="00327FE7">
      <w:pPr>
        <w:spacing w:after="0" w:line="240" w:lineRule="auto"/>
        <w:ind w:left="426" w:hanging="426"/>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rPr>
        <w:t>29-Shabbir S, Khurram E, Moorthi VS, Eissa YTH, Kamal MA, and Butler AE. The interplay between androgens and the immune response in polycystic ovary syndrome. Journal of Translational Medicine. 2023;21(1), 259.</w:t>
      </w:r>
      <w:r w:rsidR="00327FE7" w:rsidRPr="00327FE7">
        <w:t xml:space="preserve"> </w:t>
      </w:r>
      <w:r w:rsidR="00910042" w:rsidRPr="00F332EB">
        <w:rPr>
          <w:rFonts w:asciiTheme="majorBidi" w:hAnsiTheme="majorBidi" w:cstheme="majorBidi"/>
          <w:color w:val="4472C4" w:themeColor="accent1"/>
          <w:sz w:val="24"/>
          <w:u w:val="single"/>
        </w:rPr>
        <w:t>https://doi.org/</w:t>
      </w:r>
      <w:r w:rsidR="00327FE7" w:rsidRPr="00327FE7">
        <w:rPr>
          <w:rFonts w:asciiTheme="majorBidi" w:eastAsia="Calibri" w:hAnsiTheme="majorBidi" w:cstheme="majorBidi"/>
          <w:color w:val="4472C4" w:themeColor="accent1"/>
          <w:sz w:val="24"/>
          <w:u w:val="single"/>
        </w:rPr>
        <w:t>10.1186/s12967-023-04116-4</w:t>
      </w:r>
    </w:p>
    <w:p w14:paraId="3BC0B947" w14:textId="58CD83D2" w:rsidR="005729B1" w:rsidRPr="00467293" w:rsidRDefault="005729B1" w:rsidP="009F7112">
      <w:pPr>
        <w:spacing w:after="0" w:line="240" w:lineRule="auto"/>
        <w:ind w:left="426" w:hanging="426"/>
        <w:contextualSpacing/>
        <w:jc w:val="both"/>
        <w:rPr>
          <w:rFonts w:asciiTheme="majorBidi" w:eastAsia="Calibri" w:hAnsiTheme="majorBidi" w:cstheme="majorBidi"/>
          <w:color w:val="4472C4" w:themeColor="accent1"/>
          <w:sz w:val="24"/>
          <w:lang w:bidi="ar-IQ"/>
        </w:rPr>
      </w:pPr>
      <w:r w:rsidRPr="005729B1">
        <w:rPr>
          <w:rFonts w:asciiTheme="majorBidi" w:eastAsia="Calibri" w:hAnsiTheme="majorBidi" w:cstheme="majorBidi"/>
          <w:color w:val="auto"/>
          <w:sz w:val="24"/>
        </w:rPr>
        <w:t>30-Yang H, Di J, Pan J, Yu R, Teng Y, Cai Z, and Deng X, The association between prolactin and metabolic parameters in PCOS women: a retrospective analysis. Front. Endocrinol. (Lausanne).2020;11:263.</w:t>
      </w:r>
      <w:r w:rsidR="00467293" w:rsidRPr="00467293">
        <w:rPr>
          <w:rFonts w:asciiTheme="majorBidi" w:eastAsia="Calibri" w:hAnsiTheme="majorBidi" w:cstheme="majorBidi"/>
          <w:color w:val="auto"/>
          <w:sz w:val="24"/>
          <w:shd w:val="clear" w:color="auto" w:fill="FFFFFF"/>
        </w:rPr>
        <w:t xml:space="preserve"> </w:t>
      </w:r>
      <w:hyperlink r:id="rId13" w:history="1">
        <w:r w:rsidRPr="00467293">
          <w:rPr>
            <w:rFonts w:asciiTheme="majorBidi" w:eastAsia="Calibri" w:hAnsiTheme="majorBidi" w:cstheme="majorBidi"/>
            <w:color w:val="4472C4" w:themeColor="accent1"/>
            <w:sz w:val="24"/>
            <w:u w:val="single"/>
          </w:rPr>
          <w:t>https://doi.org/10.3389/fendo.2020.00263</w:t>
        </w:r>
      </w:hyperlink>
      <w:r w:rsidRPr="00467293">
        <w:rPr>
          <w:rFonts w:asciiTheme="majorBidi" w:eastAsia="Calibri" w:hAnsiTheme="majorBidi" w:cstheme="majorBidi"/>
          <w:color w:val="4472C4" w:themeColor="accent1"/>
          <w:sz w:val="24"/>
          <w:u w:val="single"/>
        </w:rPr>
        <w:t>.</w:t>
      </w:r>
    </w:p>
    <w:p w14:paraId="6B909BED" w14:textId="78E087FA" w:rsidR="005729B1" w:rsidRPr="005729B1" w:rsidRDefault="005729B1" w:rsidP="009F7112">
      <w:pPr>
        <w:spacing w:after="0" w:line="240" w:lineRule="auto"/>
        <w:ind w:left="284" w:hanging="284"/>
        <w:contextualSpacing/>
        <w:jc w:val="both"/>
        <w:rPr>
          <w:rFonts w:asciiTheme="majorBidi" w:eastAsia="Calibri" w:hAnsiTheme="majorBidi" w:cstheme="majorBidi"/>
          <w:color w:val="auto"/>
          <w:sz w:val="24"/>
          <w:u w:val="single"/>
          <w:lang w:bidi="ar-IQ"/>
        </w:rPr>
      </w:pPr>
      <w:r w:rsidRPr="005729B1">
        <w:rPr>
          <w:rFonts w:asciiTheme="majorBidi" w:eastAsia="Calibri" w:hAnsiTheme="majorBidi" w:cstheme="majorBidi"/>
          <w:color w:val="auto"/>
          <w:sz w:val="24"/>
        </w:rPr>
        <w:t xml:space="preserve">31-Saei Ghare Naz M, Mousavi M, </w:t>
      </w:r>
      <w:proofErr w:type="spellStart"/>
      <w:r w:rsidRPr="005729B1">
        <w:rPr>
          <w:rFonts w:asciiTheme="majorBidi" w:eastAsia="Calibri" w:hAnsiTheme="majorBidi" w:cstheme="majorBidi"/>
          <w:color w:val="auto"/>
          <w:sz w:val="24"/>
        </w:rPr>
        <w:t>Mahboobifard</w:t>
      </w:r>
      <w:proofErr w:type="spellEnd"/>
      <w:r w:rsidRPr="005729B1">
        <w:rPr>
          <w:rFonts w:asciiTheme="majorBidi" w:eastAsia="Calibri" w:hAnsiTheme="majorBidi" w:cstheme="majorBidi"/>
          <w:color w:val="auto"/>
          <w:sz w:val="24"/>
        </w:rPr>
        <w:t xml:space="preserve"> F, Niknam A, and Ramezani TF, A meta-analysis of observational studies on prolactin levels in women with polycystic ovary syndrome. Diagnostics. 2022;12(12):2924. </w:t>
      </w:r>
      <w:r w:rsidRPr="00467293">
        <w:rPr>
          <w:rFonts w:asciiTheme="majorBidi" w:eastAsia="Calibri" w:hAnsiTheme="majorBidi" w:cstheme="majorBidi"/>
          <w:color w:val="4472C4" w:themeColor="accent1"/>
          <w:sz w:val="24"/>
          <w:u w:val="single"/>
        </w:rPr>
        <w:t>https://doi.org/10.3390/ diagnostics12122924.</w:t>
      </w:r>
    </w:p>
    <w:p w14:paraId="25BAC9B6" w14:textId="3E06BD1C" w:rsidR="005729B1" w:rsidRPr="005729B1" w:rsidRDefault="005729B1" w:rsidP="00327FE7">
      <w:pPr>
        <w:spacing w:after="0" w:line="240" w:lineRule="auto"/>
        <w:ind w:left="426" w:hanging="426"/>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rPr>
        <w:t>32- Zhu J, Chen Z, Feng WJ, Long SL, and Mo ZC. Sex hormone-binding globulin and polycystic ovary syndrome. Clin. Chim. Acta.2019; 499: 142–148.</w:t>
      </w:r>
      <w:r w:rsidR="00327FE7" w:rsidRPr="00327FE7">
        <w:t xml:space="preserve"> </w:t>
      </w:r>
      <w:r w:rsidR="00910042" w:rsidRPr="00F332EB">
        <w:rPr>
          <w:rFonts w:asciiTheme="majorBidi" w:hAnsiTheme="majorBidi" w:cstheme="majorBidi"/>
          <w:color w:val="4472C4" w:themeColor="accent1"/>
          <w:sz w:val="24"/>
          <w:u w:val="single"/>
        </w:rPr>
        <w:t>https://doi.org/</w:t>
      </w:r>
      <w:r w:rsidR="00327FE7" w:rsidRPr="00327FE7">
        <w:rPr>
          <w:rFonts w:asciiTheme="majorBidi" w:eastAsia="Calibri" w:hAnsiTheme="majorBidi" w:cstheme="majorBidi"/>
          <w:color w:val="4472C4" w:themeColor="accent1"/>
          <w:sz w:val="24"/>
          <w:u w:val="single"/>
        </w:rPr>
        <w:t>10.1016/j.cca.2019.09.010</w:t>
      </w:r>
    </w:p>
    <w:p w14:paraId="09D91347" w14:textId="519DB112" w:rsidR="005729B1" w:rsidRPr="005729B1" w:rsidRDefault="005729B1" w:rsidP="009F7112">
      <w:pPr>
        <w:spacing w:after="0" w:line="240" w:lineRule="auto"/>
        <w:ind w:left="284" w:hanging="284"/>
        <w:contextualSpacing/>
        <w:jc w:val="both"/>
        <w:rPr>
          <w:rFonts w:asciiTheme="majorBidi" w:eastAsia="Calibri" w:hAnsiTheme="majorBidi" w:cstheme="majorBidi"/>
          <w:color w:val="auto"/>
          <w:sz w:val="24"/>
          <w:lang w:bidi="ar-IQ"/>
        </w:rPr>
      </w:pPr>
      <w:r w:rsidRPr="005729B1">
        <w:rPr>
          <w:rFonts w:asciiTheme="majorBidi" w:eastAsia="Calibri" w:hAnsiTheme="majorBidi" w:cstheme="majorBidi"/>
          <w:color w:val="auto"/>
          <w:sz w:val="24"/>
        </w:rPr>
        <w:t xml:space="preserve">33-Albu A, Florea S, and </w:t>
      </w:r>
      <w:proofErr w:type="spellStart"/>
      <w:r w:rsidRPr="005729B1">
        <w:rPr>
          <w:rFonts w:asciiTheme="majorBidi" w:eastAsia="Calibri" w:hAnsiTheme="majorBidi" w:cstheme="majorBidi"/>
          <w:color w:val="auto"/>
          <w:sz w:val="24"/>
        </w:rPr>
        <w:t>Fica</w:t>
      </w:r>
      <w:proofErr w:type="spellEnd"/>
      <w:r w:rsidRPr="005729B1">
        <w:rPr>
          <w:rFonts w:asciiTheme="majorBidi" w:eastAsia="Calibri" w:hAnsiTheme="majorBidi" w:cstheme="majorBidi"/>
          <w:color w:val="auto"/>
          <w:sz w:val="24"/>
        </w:rPr>
        <w:t xml:space="preserve"> S. Is prolactin the missing link in adipose tissue dysfunction of</w:t>
      </w:r>
      <w:r>
        <w:rPr>
          <w:rFonts w:asciiTheme="majorBidi" w:eastAsia="Calibri" w:hAnsiTheme="majorBidi" w:cstheme="majorBidi"/>
          <w:color w:val="auto"/>
          <w:sz w:val="24"/>
        </w:rPr>
        <w:t xml:space="preserve"> </w:t>
      </w:r>
      <w:r w:rsidRPr="005729B1">
        <w:rPr>
          <w:rFonts w:asciiTheme="majorBidi" w:eastAsia="Calibri" w:hAnsiTheme="majorBidi" w:cstheme="majorBidi"/>
          <w:color w:val="auto"/>
          <w:sz w:val="24"/>
        </w:rPr>
        <w:t xml:space="preserve">polycystic ovary syndrome patients? Endocrine. 2022;51(1):163–173. </w:t>
      </w:r>
      <w:r w:rsidR="00467293" w:rsidRPr="00345372">
        <w:rPr>
          <w:rFonts w:asciiTheme="majorBidi" w:eastAsia="Calibri" w:hAnsiTheme="majorBidi" w:cstheme="majorBidi"/>
          <w:color w:val="auto"/>
          <w:sz w:val="24"/>
          <w:shd w:val="clear" w:color="auto" w:fill="FFFFFF"/>
        </w:rPr>
        <w:t xml:space="preserve">DOI: </w:t>
      </w:r>
      <w:hyperlink r:id="rId14" w:history="1">
        <w:r w:rsidRPr="00467293">
          <w:rPr>
            <w:rFonts w:asciiTheme="majorBidi" w:eastAsia="Calibri" w:hAnsiTheme="majorBidi" w:cstheme="majorBidi"/>
            <w:color w:val="4472C4" w:themeColor="accent1"/>
            <w:sz w:val="24"/>
            <w:u w:val="single"/>
          </w:rPr>
          <w:t>https://doi.org/10.1007/s12020-015-0655-1</w:t>
        </w:r>
      </w:hyperlink>
      <w:r w:rsidRPr="00467293">
        <w:rPr>
          <w:rFonts w:asciiTheme="majorBidi" w:eastAsia="Calibri" w:hAnsiTheme="majorBidi" w:cstheme="majorBidi"/>
          <w:color w:val="4472C4" w:themeColor="accent1"/>
          <w:sz w:val="24"/>
          <w:u w:val="single"/>
        </w:rPr>
        <w:t>.</w:t>
      </w:r>
    </w:p>
    <w:p w14:paraId="67C53B32" w14:textId="77777777" w:rsidR="005729B1" w:rsidRPr="004457AB" w:rsidRDefault="005729B1" w:rsidP="009F7112">
      <w:pPr>
        <w:spacing w:after="200" w:line="240" w:lineRule="auto"/>
        <w:ind w:left="142" w:hanging="142"/>
        <w:jc w:val="both"/>
        <w:rPr>
          <w:rFonts w:ascii="Times New Roman" w:eastAsia="Calibri" w:hAnsi="Times New Roman" w:cs="Times New Roman"/>
          <w:sz w:val="24"/>
          <w:lang w:bidi="ar-IQ"/>
        </w:rPr>
      </w:pPr>
    </w:p>
    <w:p w14:paraId="147CD40B" w14:textId="77777777" w:rsidR="005729B1" w:rsidRPr="004457AB" w:rsidRDefault="005729B1" w:rsidP="009F7112">
      <w:pPr>
        <w:ind w:left="142" w:hanging="142"/>
      </w:pPr>
    </w:p>
    <w:p w14:paraId="6E106960" w14:textId="77777777" w:rsidR="005729B1" w:rsidRDefault="005729B1" w:rsidP="009F7112">
      <w:pPr>
        <w:pStyle w:val="NoSpacing"/>
        <w:ind w:left="142" w:hanging="142"/>
        <w:rPr>
          <w:b/>
          <w:bCs/>
          <w:rtl/>
        </w:rPr>
      </w:pPr>
    </w:p>
    <w:sectPr w:rsidR="005729B1" w:rsidSect="00422E8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A0C5" w14:textId="77777777" w:rsidR="00F3536D" w:rsidRDefault="00F3536D" w:rsidP="00D05CD7">
      <w:pPr>
        <w:spacing w:after="0" w:line="240" w:lineRule="auto"/>
      </w:pPr>
      <w:r>
        <w:separator/>
      </w:r>
    </w:p>
  </w:endnote>
  <w:endnote w:type="continuationSeparator" w:id="0">
    <w:p w14:paraId="1DE21A6F" w14:textId="77777777" w:rsidR="00F3536D" w:rsidRDefault="00F3536D" w:rsidP="00D0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exusSans-Italic">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F99B" w14:textId="77777777" w:rsidR="00450B7C" w:rsidRDefault="00450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17B7" w14:textId="2CA6BF9B" w:rsidR="00927B81" w:rsidRPr="000C4B86" w:rsidRDefault="003D4CF9" w:rsidP="005D4D8E">
    <w:pPr>
      <w:pStyle w:val="Footer"/>
      <w:tabs>
        <w:tab w:val="clear" w:pos="9026"/>
        <w:tab w:val="left" w:pos="7633"/>
      </w:tabs>
      <w:rPr>
        <w:sz w:val="22"/>
        <w:szCs w:val="22"/>
      </w:rPr>
    </w:pPr>
    <w:r>
      <w:rPr>
        <w:noProof/>
        <w:lang w:eastAsia="en-GB"/>
      </w:rPr>
      <mc:AlternateContent>
        <mc:Choice Requires="wps">
          <w:drawing>
            <wp:anchor distT="0" distB="0" distL="114300" distR="114300" simplePos="0" relativeHeight="251674624" behindDoc="0" locked="0" layoutInCell="1" allowOverlap="1" wp14:anchorId="1199C580" wp14:editId="14AF64BF">
              <wp:simplePos x="0" y="0"/>
              <wp:positionH relativeFrom="column">
                <wp:posOffset>-529546</wp:posOffset>
              </wp:positionH>
              <wp:positionV relativeFrom="paragraph">
                <wp:posOffset>-36830</wp:posOffset>
              </wp:positionV>
              <wp:extent cx="3032955" cy="475307"/>
              <wp:effectExtent l="0" t="0" r="0" b="1270"/>
              <wp:wrapNone/>
              <wp:docPr id="1988496823" name="Text Box 6"/>
              <wp:cNvGraphicFramePr/>
              <a:graphic xmlns:a="http://schemas.openxmlformats.org/drawingml/2006/main">
                <a:graphicData uri="http://schemas.microsoft.com/office/word/2010/wordprocessingShape">
                  <wps:wsp>
                    <wps:cNvSpPr txBox="1"/>
                    <wps:spPr>
                      <a:xfrm>
                        <a:off x="0" y="0"/>
                        <a:ext cx="3032955" cy="475307"/>
                      </a:xfrm>
                      <a:prstGeom prst="rect">
                        <a:avLst/>
                      </a:prstGeom>
                      <a:solidFill>
                        <a:schemeClr val="lt1"/>
                      </a:solidFill>
                      <a:ln w="6350">
                        <a:noFill/>
                      </a:ln>
                    </wps:spPr>
                    <wps:txbx>
                      <w:txbxContent>
                        <w:p w14:paraId="6C2A7D89" w14:textId="77777777" w:rsidR="005D4D8E" w:rsidRPr="00231AF0" w:rsidRDefault="005D4D8E" w:rsidP="005D4D8E">
                          <w:pPr>
                            <w:pStyle w:val="Articalhistory"/>
                            <w:rPr>
                              <w:b/>
                              <w:bCs/>
                              <w:sz w:val="20"/>
                              <w:szCs w:val="20"/>
                            </w:rPr>
                          </w:pPr>
                          <w:r w:rsidRPr="00231AF0">
                            <w:rPr>
                              <w:b/>
                              <w:bCs/>
                              <w:color w:val="538135" w:themeColor="accent6" w:themeShade="BF"/>
                              <w:sz w:val="16"/>
                              <w:szCs w:val="16"/>
                              <w:lang w:bidi="ar-SA"/>
                              <w14:textFill>
                                <w14:solidFill>
                                  <w14:schemeClr w14:val="accent6">
                                    <w14:lumMod w14:val="75000"/>
                                    <w14:lumMod w14:val="75000"/>
                                  </w14:schemeClr>
                                </w14:solidFill>
                              </w14:textFill>
                            </w:rPr>
                            <w:t>© THIS IS AN OPEN ACCESS ARTICLE UNDER THE CC BY LICENSE.</w:t>
                          </w:r>
                          <w:r w:rsidRPr="00231AF0">
                            <w:rPr>
                              <w:b/>
                              <w:bCs/>
                              <w:color w:val="538135" w:themeColor="accent6" w:themeShade="BF"/>
                              <w:sz w:val="16"/>
                              <w:szCs w:val="16"/>
                              <w14:textFill>
                                <w14:solidFill>
                                  <w14:schemeClr w14:val="accent6">
                                    <w14:lumMod w14:val="75000"/>
                                    <w14:lumMod w14:val="75000"/>
                                  </w14:schemeClr>
                                </w14:solidFill>
                              </w14:textFill>
                            </w:rPr>
                            <w:t xml:space="preserve"> </w:t>
                          </w:r>
                          <w:hyperlink r:id="rId1" w:history="1">
                            <w:r w:rsidRPr="00231AF0">
                              <w:rPr>
                                <w:rStyle w:val="Hyperlink"/>
                                <w:b/>
                                <w:bCs/>
                                <w:color w:val="034990" w:themeColor="hyperlink" w:themeShade="BF"/>
                                <w:sz w:val="20"/>
                                <w:szCs w:val="20"/>
                              </w:rPr>
                              <w:t>http://creativecommons.org/licenses/by/4.0/</w:t>
                            </w:r>
                          </w:hyperlink>
                        </w:p>
                        <w:p w14:paraId="351ED82C" w14:textId="77777777" w:rsidR="005D4D8E" w:rsidRPr="00231AF0" w:rsidRDefault="005D4D8E" w:rsidP="005D4D8E">
                          <w:pPr>
                            <w:pStyle w:val="Articalhistory"/>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9C580" id="_x0000_t202" coordsize="21600,21600" o:spt="202" path="m,l,21600r21600,l21600,xe">
              <v:stroke joinstyle="miter"/>
              <v:path gradientshapeok="t" o:connecttype="rect"/>
            </v:shapetype>
            <v:shape id="Text Box 6" o:spid="_x0000_s1028" type="#_x0000_t202" style="position:absolute;margin-left:-41.7pt;margin-top:-2.9pt;width:238.8pt;height:3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S7MQIAAFsEAAAOAAAAZHJzL2Uyb0RvYy54bWysVE2P2yAQvVfqf0DcGztfm64VZ5VmlapS&#10;tLtSttozwZAgYYYCiZ3++g44X932VPWCZ5jhMfPm4elDW2tyEM4rMCXt93JKhOFQKbMt6ffX5afP&#10;lPjATMU0GFHSo/D0Yfbxw7SxhRjADnQlHEEQ44vGlnQXgi2yzPOdqJnvgRUGgxJczQK6bptVjjWI&#10;XutskOd3WQOusg648B53H7sgnSV8KQUPz1J6EYguKdYW0urSuolrNpuyYuuY3Sl+KoP9QxU1UwYv&#10;vUA9ssDI3qk/oGrFHXiQocehzkBKxUXqAbvp5++6We+YFakXJMfbC03+/8Hyp8PavjgS2i/Q4gAj&#10;IY31hcfN2E8rXR2/WCnBOFJ4vNAm2kA4bg7z4eB+PKaEY2w0GQ/zSYTJrqet8+GrgJpEo6QOx5LY&#10;YoeVD13qOSVe5kGraqm0Tk6UglhoRw4Mh6hDqhHBf8vShjQlvRuO8wRsIB7vkLXBWq49RSu0m5ao&#10;qqSDc78bqI5Ig4NOId7ypcJaV8yHF+ZQEtg5yjw84yI14F1wsijZgfv5t/2Yj5PCKCUNSqyk/see&#10;OUGJ/mZwhvf90ShqMjmj8WSAjruNbG4jZl8vAAno44OyPJkxP+izKR3Ub/ga5vFWDDHD8e6ShrO5&#10;CJ3w8TVxMZ+nJFShZWFl1pZH6Eh4nMRr+8acPY0r4KCf4CxGVrybWpcbTxqY7wNIlUYaee5YPdGP&#10;Ck6iOL22+ERu/ZR1/SfMfgEAAP//AwBQSwMEFAAGAAgAAAAhACZ/7RThAAAACQEAAA8AAABkcnMv&#10;ZG93bnJldi54bWxMj8FOwzAMhu9IvENkJC5oS7duYytNJ4SASdy2DhC3rDFtReNUTdaWt8ec4GbL&#10;n35/f7odbSN67HztSMFsGoFAKpypqVRwzJ8maxA+aDK6cYQKvtHDNru8SHVi3EB77A+hFBxCPtEK&#10;qhDaREpfVGi1n7oWiW+frrM68NqV0nR64HDbyHkUraTVNfGHSrf4UGHxdThbBR835fuLH59fh3gZ&#10;t4+7Pr99M7lS11fj/R2IgGP4g+FXn9UhY6eTO5PxolEwWccLRnlYcgUG4s1iDuKkYLWZgcxS+b9B&#10;9gMAAP//AwBQSwECLQAUAAYACAAAACEAtoM4kv4AAADhAQAAEwAAAAAAAAAAAAAAAAAAAAAAW0Nv&#10;bnRlbnRfVHlwZXNdLnhtbFBLAQItABQABgAIAAAAIQA4/SH/1gAAAJQBAAALAAAAAAAAAAAAAAAA&#10;AC8BAABfcmVscy8ucmVsc1BLAQItABQABgAIAAAAIQA7DaS7MQIAAFsEAAAOAAAAAAAAAAAAAAAA&#10;AC4CAABkcnMvZTJvRG9jLnhtbFBLAQItABQABgAIAAAAIQAmf+0U4QAAAAkBAAAPAAAAAAAAAAAA&#10;AAAAAIsEAABkcnMvZG93bnJldi54bWxQSwUGAAAAAAQABADzAAAAmQUAAAAA&#10;" fillcolor="white [3201]" stroked="f" strokeweight=".5pt">
              <v:textbox>
                <w:txbxContent>
                  <w:p w14:paraId="6C2A7D89" w14:textId="77777777" w:rsidR="005D4D8E" w:rsidRPr="00231AF0" w:rsidRDefault="005D4D8E" w:rsidP="005D4D8E">
                    <w:pPr>
                      <w:pStyle w:val="Articalhistory"/>
                      <w:rPr>
                        <w:b/>
                        <w:bCs/>
                        <w:sz w:val="20"/>
                        <w:szCs w:val="20"/>
                      </w:rPr>
                    </w:pPr>
                    <w:r w:rsidRPr="00231AF0">
                      <w:rPr>
                        <w:b/>
                        <w:bCs/>
                        <w:color w:val="538135" w:themeColor="accent6" w:themeShade="BF"/>
                        <w:sz w:val="16"/>
                        <w:szCs w:val="16"/>
                        <w:lang w:bidi="ar-SA"/>
                        <w14:textFill>
                          <w14:solidFill>
                            <w14:schemeClr w14:val="accent6">
                              <w14:lumMod w14:val="75000"/>
                              <w14:lumMod w14:val="75000"/>
                            </w14:schemeClr>
                          </w14:solidFill>
                        </w14:textFill>
                      </w:rPr>
                      <w:t>© THIS IS AN OPEN ACCESS ARTICLE UNDER THE CC BY LICENSE.</w:t>
                    </w:r>
                    <w:r w:rsidRPr="00231AF0">
                      <w:rPr>
                        <w:b/>
                        <w:bCs/>
                        <w:color w:val="538135" w:themeColor="accent6" w:themeShade="BF"/>
                        <w:sz w:val="16"/>
                        <w:szCs w:val="16"/>
                        <w14:textFill>
                          <w14:solidFill>
                            <w14:schemeClr w14:val="accent6">
                              <w14:lumMod w14:val="75000"/>
                              <w14:lumMod w14:val="75000"/>
                            </w14:schemeClr>
                          </w14:solidFill>
                        </w14:textFill>
                      </w:rPr>
                      <w:t xml:space="preserve"> </w:t>
                    </w:r>
                    <w:hyperlink r:id="rId2" w:history="1">
                      <w:r w:rsidRPr="00231AF0">
                        <w:rPr>
                          <w:rStyle w:val="Hyperlink"/>
                          <w:b/>
                          <w:bCs/>
                          <w:color w:val="034990" w:themeColor="hyperlink" w:themeShade="BF"/>
                          <w:sz w:val="20"/>
                          <w:szCs w:val="20"/>
                        </w:rPr>
                        <w:t>http://creativecommons.org/licenses/by/4.0/</w:t>
                      </w:r>
                    </w:hyperlink>
                  </w:p>
                  <w:p w14:paraId="351ED82C" w14:textId="77777777" w:rsidR="005D4D8E" w:rsidRPr="00231AF0" w:rsidRDefault="005D4D8E" w:rsidP="005D4D8E">
                    <w:pPr>
                      <w:pStyle w:val="Articalhistory"/>
                      <w:rPr>
                        <w:b/>
                        <w:bCs/>
                        <w:sz w:val="20"/>
                        <w:szCs w:val="20"/>
                      </w:rPr>
                    </w:pP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54837738" wp14:editId="19E07C87">
              <wp:simplePos x="0" y="0"/>
              <wp:positionH relativeFrom="margin">
                <wp:align>center</wp:align>
              </wp:positionH>
              <wp:positionV relativeFrom="paragraph">
                <wp:posOffset>-144856</wp:posOffset>
              </wp:positionV>
              <wp:extent cx="6311900" cy="0"/>
              <wp:effectExtent l="0" t="0" r="0" b="0"/>
              <wp:wrapNone/>
              <wp:docPr id="1482301238" name="Straight Connector 1"/>
              <wp:cNvGraphicFramePr/>
              <a:graphic xmlns:a="http://schemas.openxmlformats.org/drawingml/2006/main">
                <a:graphicData uri="http://schemas.microsoft.com/office/word/2010/wordprocessingShape">
                  <wps:wsp>
                    <wps:cNvCnPr/>
                    <wps:spPr>
                      <a:xfrm flipV="1">
                        <a:off x="0" y="0"/>
                        <a:ext cx="6311900"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37313" id="Straight Connector 1" o:spid="_x0000_s1026" style="position:absolute;flip:y;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4pt" to="49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sKEzQEAAAYEAAAOAAAAZHJzL2Uyb0RvYy54bWysU8Fu3CAQvVfqPyDuXdupumqt9eaQKLmk&#10;bdQmvRM8rJGAQUDW3r/vgHe9UVpValUfkAfmvZn3GDaXkzVsDyFqdB1vVjVn4CT22u06/vhw8+4j&#10;ZzEJ1wuDDjp+gMgvt2/fbEbfwgUOaHoIjEhcbEff8SEl31ZVlANYEVfowdGhwmBFojDsqj6Ikdit&#10;qS7qel2NGHofUEKMtHs9H/Jt4VcKZPqqVITETMept1TWUNanvFbbjWh3QfhBy2Mb4h+6sEI7KrpQ&#10;XYsk2HPQv1BZLQNGVGkl0VaolJZQNJCapn6l5vsgPBQtZE70i03x/9HKL/srdx/IhtHHNvr7kFVM&#10;KlimjPY/6E6LLuqUTcW2w2IbTIlJ2ly/b5pPNbkrT2fVTJGpfIjpFtCy/NNxo11WJFqxv4uJylLq&#10;KSVvG5fXiEb3N9qYEuRZgCsT2F7QLQopwaV1ITHP9jP28/6Hmr58n8RYxidD5ujMRme5QnUWW/7S&#10;wcBc/RsopnsSNcteiF7Wbo5VjKPsDFPU6QKsS2d/BB7zMxTKjP4NeEGUyujSArbaYfhd9TSdWlZz&#10;/smBWXe24An7QxmDYg0NW3Hu+DDyNL+MC/z8fLc/AQAA//8DAFBLAwQUAAYACAAAACEAmPG6cNkA&#10;AAAIAQAADwAAAGRycy9kb3ducmV2LnhtbEyPQUvDQBCF74L/YRnBW7sxijQxkyIBvVuLeNxkxySa&#10;nY3ZTZv+e0cQ7HHee7x5X7Fd3KAONIXeM8LNOgFF3Hjbc4uwf31abUCFaNiawTMhnCjAtry8KExu&#10;/ZFf6LCLrZISDrlB6GIcc61D05EzYe1HYvE+/ORMlHNqtZ3MUcrdoNMkudfO9CwfOjNS1VHztZsd&#10;AjV7/t5Uty7zc/1efT5X6dt4Qry+Wh4fQEVa4n8YfufLdChlU+1ntkENCAISEVZpKgBiZ9mdKPWf&#10;ostCnwOUPwAAAP//AwBQSwECLQAUAAYACAAAACEAtoM4kv4AAADhAQAAEwAAAAAAAAAAAAAAAAAA&#10;AAAAW0NvbnRlbnRfVHlwZXNdLnhtbFBLAQItABQABgAIAAAAIQA4/SH/1gAAAJQBAAALAAAAAAAA&#10;AAAAAAAAAC8BAABfcmVscy8ucmVsc1BLAQItABQABgAIAAAAIQDk2sKEzQEAAAYEAAAOAAAAAAAA&#10;AAAAAAAAAC4CAABkcnMvZTJvRG9jLnhtbFBLAQItABQABgAIAAAAIQCY8bpw2QAAAAgBAAAPAAAA&#10;AAAAAAAAAAAAACcEAABkcnMvZG93bnJldi54bWxQSwUGAAAAAAQABADzAAAALQUAAAAA&#10;" strokecolor="#375623 [1609]" strokeweight=".5pt">
              <v:stroke joinstyle="miter"/>
              <w10:wrap anchorx="margin"/>
            </v:line>
          </w:pict>
        </mc:Fallback>
      </mc:AlternateContent>
    </w:r>
    <w:r w:rsidR="005D4D8E">
      <w:rPr>
        <w:noProof/>
        <w:lang w:eastAsia="en-GB"/>
      </w:rPr>
      <mc:AlternateContent>
        <mc:Choice Requires="wps">
          <w:drawing>
            <wp:anchor distT="0" distB="0" distL="114300" distR="114300" simplePos="0" relativeHeight="251676672" behindDoc="0" locked="0" layoutInCell="1" allowOverlap="1" wp14:anchorId="0D7022BD" wp14:editId="676703DD">
              <wp:simplePos x="0" y="0"/>
              <wp:positionH relativeFrom="column">
                <wp:posOffset>3471600</wp:posOffset>
              </wp:positionH>
              <wp:positionV relativeFrom="paragraph">
                <wp:posOffset>-52856</wp:posOffset>
              </wp:positionV>
              <wp:extent cx="2933304" cy="533841"/>
              <wp:effectExtent l="0" t="0" r="635" b="0"/>
              <wp:wrapNone/>
              <wp:docPr id="2007899544" name="Text Box 6"/>
              <wp:cNvGraphicFramePr/>
              <a:graphic xmlns:a="http://schemas.openxmlformats.org/drawingml/2006/main">
                <a:graphicData uri="http://schemas.microsoft.com/office/word/2010/wordprocessingShape">
                  <wps:wsp>
                    <wps:cNvSpPr txBox="1"/>
                    <wps:spPr>
                      <a:xfrm>
                        <a:off x="0" y="0"/>
                        <a:ext cx="2933304" cy="533841"/>
                      </a:xfrm>
                      <a:prstGeom prst="rect">
                        <a:avLst/>
                      </a:prstGeom>
                      <a:solidFill>
                        <a:schemeClr val="lt1"/>
                      </a:solidFill>
                      <a:ln w="6350">
                        <a:noFill/>
                      </a:ln>
                    </wps:spPr>
                    <wps:txbx>
                      <w:txbxContent>
                        <w:p w14:paraId="74F84614" w14:textId="24373304" w:rsidR="005D4D8E" w:rsidRPr="00231AF0" w:rsidRDefault="00450B7C" w:rsidP="005D4D8E">
                          <w:pPr>
                            <w:pStyle w:val="Footer"/>
                            <w:tabs>
                              <w:tab w:val="clear" w:pos="4513"/>
                              <w:tab w:val="clear" w:pos="9026"/>
                              <w:tab w:val="left" w:pos="6850"/>
                            </w:tabs>
                            <w:jc w:val="center"/>
                            <w:rPr>
                              <w:rFonts w:asciiTheme="majorBidi" w:hAnsiTheme="majorBidi" w:cstheme="majorBidi"/>
                              <w:b/>
                              <w:sz w:val="22"/>
                              <w:szCs w:val="14"/>
                            </w:rPr>
                          </w:pPr>
                          <w:hyperlink r:id="rId3" w:history="1">
                            <w:r w:rsidRPr="00701393">
                              <w:rPr>
                                <w:rStyle w:val="Hyperlink"/>
                                <w:rFonts w:asciiTheme="majorBidi" w:hAnsiTheme="majorBidi" w:cstheme="majorBidi"/>
                                <w:b/>
                                <w:sz w:val="22"/>
                                <w:szCs w:val="14"/>
                              </w:rPr>
                              <w:t>http://www.nujms.org</w:t>
                            </w:r>
                          </w:hyperlink>
                          <w:r>
                            <w:rPr>
                              <w:rFonts w:asciiTheme="majorBidi" w:hAnsiTheme="majorBidi" w:cstheme="majorBidi"/>
                              <w:b/>
                              <w:sz w:val="22"/>
                              <w:szCs w:val="14"/>
                            </w:rPr>
                            <w:t xml:space="preserve"> </w:t>
                          </w:r>
                        </w:p>
                        <w:p w14:paraId="73A56FF0" w14:textId="77777777" w:rsidR="005D4D8E" w:rsidRPr="00231AF0" w:rsidRDefault="005D4D8E" w:rsidP="005D4D8E">
                          <w:pPr>
                            <w:pStyle w:val="Footer"/>
                            <w:tabs>
                              <w:tab w:val="clear" w:pos="4513"/>
                              <w:tab w:val="clear" w:pos="9026"/>
                              <w:tab w:val="left" w:pos="6850"/>
                            </w:tabs>
                            <w:jc w:val="right"/>
                            <w:rPr>
                              <w:rFonts w:asciiTheme="majorBidi" w:hAnsiTheme="majorBidi" w:cstheme="majorBidi"/>
                              <w:b/>
                              <w:sz w:val="24"/>
                              <w:szCs w:val="16"/>
                            </w:rPr>
                          </w:pPr>
                          <w:r w:rsidRPr="00231AF0">
                            <w:rPr>
                              <w:rFonts w:asciiTheme="majorBidi" w:hAnsiTheme="majorBidi" w:cstheme="majorBidi"/>
                              <w:b/>
                              <w:sz w:val="22"/>
                              <w:szCs w:val="22"/>
                            </w:rPr>
                            <w:t xml:space="preserve">  Ninevah </w:t>
                          </w:r>
                          <w:proofErr w:type="spellStart"/>
                          <w:r w:rsidRPr="00231AF0">
                            <w:rPr>
                              <w:rFonts w:asciiTheme="majorBidi" w:hAnsiTheme="majorBidi" w:cstheme="majorBidi"/>
                              <w:b/>
                              <w:sz w:val="22"/>
                              <w:szCs w:val="22"/>
                            </w:rPr>
                            <w:t>Univ</w:t>
                          </w:r>
                          <w:proofErr w:type="spellEnd"/>
                          <w:r w:rsidRPr="00231AF0">
                            <w:rPr>
                              <w:rFonts w:asciiTheme="majorBidi" w:hAnsiTheme="majorBidi" w:cstheme="majorBidi"/>
                              <w:b/>
                              <w:sz w:val="22"/>
                              <w:szCs w:val="22"/>
                            </w:rPr>
                            <w:t xml:space="preserve"> J Med Sci. 2025;</w:t>
                          </w:r>
                          <w:r w:rsidRPr="00231AF0">
                            <w:rPr>
                              <w:rFonts w:asciiTheme="majorBidi" w:hAnsiTheme="majorBidi" w:cstheme="majorBidi"/>
                              <w:b/>
                              <w:sz w:val="22"/>
                              <w:szCs w:val="22"/>
                              <w:lang w:bidi="ar-IQ"/>
                            </w:rPr>
                            <w:t>1(</w:t>
                          </w:r>
                          <w:r>
                            <w:rPr>
                              <w:rFonts w:asciiTheme="majorBidi" w:hAnsiTheme="majorBidi" w:cstheme="majorBidi" w:hint="cs"/>
                              <w:b/>
                              <w:sz w:val="22"/>
                              <w:szCs w:val="22"/>
                              <w:rtl/>
                              <w:lang w:bidi="ar-IQ"/>
                            </w:rPr>
                            <w:t>1</w:t>
                          </w:r>
                          <w:r w:rsidRPr="00231AF0">
                            <w:rPr>
                              <w:rFonts w:asciiTheme="majorBidi" w:hAnsiTheme="majorBidi" w:cstheme="majorBidi"/>
                              <w:b/>
                              <w:sz w:val="22"/>
                              <w:szCs w:val="22"/>
                              <w:lang w:bidi="ar-IQ"/>
                            </w:rPr>
                            <w:t>)</w:t>
                          </w:r>
                        </w:p>
                        <w:p w14:paraId="2CC44200" w14:textId="77777777" w:rsidR="005D4D8E" w:rsidRPr="00231AF0" w:rsidRDefault="005D4D8E" w:rsidP="005D4D8E">
                          <w:pPr>
                            <w:rPr>
                              <w:rFonts w:asciiTheme="majorBidi" w:hAnsiTheme="majorBidi" w:cstheme="majorBidi"/>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7022BD" id="_x0000_t202" coordsize="21600,21600" o:spt="202" path="m,l,21600r21600,l21600,xe">
              <v:stroke joinstyle="miter"/>
              <v:path gradientshapeok="t" o:connecttype="rect"/>
            </v:shapetype>
            <v:shape id="_x0000_s1029" type="#_x0000_t202" style="position:absolute;margin-left:273.35pt;margin-top:-4.15pt;width:230.95pt;height:42.0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PMAIAAFsEAAAOAAAAZHJzL2Uyb0RvYy54bWysVFFv2jAQfp+0/2D5fSQQ6NqIUDEqpklV&#10;W4lOfTaOTSI5Ps82JOzX7+wQYN2epr04d77zd77vO2d+3zWKHIR1NeiCjkcpJUJzKGu9K+j31/Wn&#10;W0qcZ7pkCrQo6FE4er/4+GHemlxMoAJVCksQRLu8NQWtvDd5kjheiYa5ERihMSjBNsyja3dJaVmL&#10;6I1KJml6k7RgS2OBC+dw96EP0kXEl1Jw/yylE56oguLdfFxtXLdhTRZzlu8sM1XNT9dg/3CLhtUa&#10;i56hHphnZG/rP6CamltwIP2IQ5OAlDUXsQfsZpy+62ZTMSNiL0iOM2ea3P+D5U+HjXmxxHdfoEMB&#10;AyGtcbnDzdBPJ20TvnhTgnGk8HimTXSecNyc3GVZlk4p4RibZdntNMIkl9PGOv9VQEOCUVCLskS2&#10;2OHReayIqUNKKOZA1eW6Vio6YRTESllyYCii8gP4b1lKk7agN9ksjcAawvEeWWkscOkpWL7bdqQu&#10;C5oN/W6hPCINFvoJcYava7zrI3P+hVkcCewcx9w/4yIVYC04WZRUYH/+bT/ko1IYpaTFESuo+7Fn&#10;VlCivmnU8G48nYaZjM509nmCjr2ObK8jet+sAAkY44MyPJoh36vBlBaaN3wNy1AVQ0xzrF1QP5gr&#10;3w8+viYulsuYhFNomH/UG8MDdCA8KPHavTFrTnJ5FPoJhmFk+TvV+txwUsNy70HWUdLAc8/qiX6c&#10;4Kj06bWFJ3Ltx6zLP2HxCwAA//8DAFBLAwQUAAYACAAAACEAbThyfOEAAAAKAQAADwAAAGRycy9k&#10;b3ducmV2LnhtbEyPy07DMBBF90j8gzVIbFBrQ8hDIU6FEA+JHQ20YufGQxIRj6PYTcLf465gObpH&#10;954pNovp2YSj6yxJuF4LYEi11R01Et6rp1UGzHlFWvWWUMIPOtiU52eFyrWd6Q2nrW9YKCGXKwmt&#10;90POuatbNMqt7YAUsi87GuXDOTZcj2oO5abnN0Ik3KiOwkKrBnxosf7eHo2Ez6tm/+qW5485iqPh&#10;8WWq0p2upLy8WO7vgHlc/B8MJ/2gDmVwOtgjacd6CfFtkgZUwiqLgJ0AIbIE2EFCGmfAy4L/f6H8&#10;BQAA//8DAFBLAQItABQABgAIAAAAIQC2gziS/gAAAOEBAAATAAAAAAAAAAAAAAAAAAAAAABbQ29u&#10;dGVudF9UeXBlc10ueG1sUEsBAi0AFAAGAAgAAAAhADj9If/WAAAAlAEAAAsAAAAAAAAAAAAAAAAA&#10;LwEAAF9yZWxzLy5yZWxzUEsBAi0AFAAGAAgAAAAhAEH6xc8wAgAAWwQAAA4AAAAAAAAAAAAAAAAA&#10;LgIAAGRycy9lMm9Eb2MueG1sUEsBAi0AFAAGAAgAAAAhAG04cnzhAAAACgEAAA8AAAAAAAAAAAAA&#10;AAAAigQAAGRycy9kb3ducmV2LnhtbFBLBQYAAAAABAAEAPMAAACYBQAAAAA=&#10;" fillcolor="white [3201]" stroked="f" strokeweight=".5pt">
              <v:textbox>
                <w:txbxContent>
                  <w:p w14:paraId="74F84614" w14:textId="24373304" w:rsidR="005D4D8E" w:rsidRPr="00231AF0" w:rsidRDefault="00450B7C" w:rsidP="005D4D8E">
                    <w:pPr>
                      <w:pStyle w:val="Footer"/>
                      <w:tabs>
                        <w:tab w:val="clear" w:pos="4513"/>
                        <w:tab w:val="clear" w:pos="9026"/>
                        <w:tab w:val="left" w:pos="6850"/>
                      </w:tabs>
                      <w:jc w:val="center"/>
                      <w:rPr>
                        <w:rFonts w:asciiTheme="majorBidi" w:hAnsiTheme="majorBidi" w:cstheme="majorBidi"/>
                        <w:b/>
                        <w:sz w:val="22"/>
                        <w:szCs w:val="14"/>
                      </w:rPr>
                    </w:pPr>
                    <w:hyperlink r:id="rId4" w:history="1">
                      <w:r w:rsidRPr="00701393">
                        <w:rPr>
                          <w:rStyle w:val="Hyperlink"/>
                          <w:rFonts w:asciiTheme="majorBidi" w:hAnsiTheme="majorBidi" w:cstheme="majorBidi"/>
                          <w:b/>
                          <w:sz w:val="22"/>
                          <w:szCs w:val="14"/>
                        </w:rPr>
                        <w:t>http://www.nujms.org</w:t>
                      </w:r>
                    </w:hyperlink>
                    <w:r>
                      <w:rPr>
                        <w:rFonts w:asciiTheme="majorBidi" w:hAnsiTheme="majorBidi" w:cstheme="majorBidi"/>
                        <w:b/>
                        <w:sz w:val="22"/>
                        <w:szCs w:val="14"/>
                      </w:rPr>
                      <w:t xml:space="preserve"> </w:t>
                    </w:r>
                  </w:p>
                  <w:p w14:paraId="73A56FF0" w14:textId="77777777" w:rsidR="005D4D8E" w:rsidRPr="00231AF0" w:rsidRDefault="005D4D8E" w:rsidP="005D4D8E">
                    <w:pPr>
                      <w:pStyle w:val="Footer"/>
                      <w:tabs>
                        <w:tab w:val="clear" w:pos="4513"/>
                        <w:tab w:val="clear" w:pos="9026"/>
                        <w:tab w:val="left" w:pos="6850"/>
                      </w:tabs>
                      <w:jc w:val="right"/>
                      <w:rPr>
                        <w:rFonts w:asciiTheme="majorBidi" w:hAnsiTheme="majorBidi" w:cstheme="majorBidi"/>
                        <w:b/>
                        <w:sz w:val="24"/>
                        <w:szCs w:val="16"/>
                      </w:rPr>
                    </w:pPr>
                    <w:r w:rsidRPr="00231AF0">
                      <w:rPr>
                        <w:rFonts w:asciiTheme="majorBidi" w:hAnsiTheme="majorBidi" w:cstheme="majorBidi"/>
                        <w:b/>
                        <w:sz w:val="22"/>
                        <w:szCs w:val="22"/>
                      </w:rPr>
                      <w:t xml:space="preserve">  Ninevah </w:t>
                    </w:r>
                    <w:proofErr w:type="spellStart"/>
                    <w:r w:rsidRPr="00231AF0">
                      <w:rPr>
                        <w:rFonts w:asciiTheme="majorBidi" w:hAnsiTheme="majorBidi" w:cstheme="majorBidi"/>
                        <w:b/>
                        <w:sz w:val="22"/>
                        <w:szCs w:val="22"/>
                      </w:rPr>
                      <w:t>Univ</w:t>
                    </w:r>
                    <w:proofErr w:type="spellEnd"/>
                    <w:r w:rsidRPr="00231AF0">
                      <w:rPr>
                        <w:rFonts w:asciiTheme="majorBidi" w:hAnsiTheme="majorBidi" w:cstheme="majorBidi"/>
                        <w:b/>
                        <w:sz w:val="22"/>
                        <w:szCs w:val="22"/>
                      </w:rPr>
                      <w:t xml:space="preserve"> J Med Sci. 2025;</w:t>
                    </w:r>
                    <w:r w:rsidRPr="00231AF0">
                      <w:rPr>
                        <w:rFonts w:asciiTheme="majorBidi" w:hAnsiTheme="majorBidi" w:cstheme="majorBidi"/>
                        <w:b/>
                        <w:sz w:val="22"/>
                        <w:szCs w:val="22"/>
                        <w:lang w:bidi="ar-IQ"/>
                      </w:rPr>
                      <w:t>1(</w:t>
                    </w:r>
                    <w:r>
                      <w:rPr>
                        <w:rFonts w:asciiTheme="majorBidi" w:hAnsiTheme="majorBidi" w:cstheme="majorBidi" w:hint="cs"/>
                        <w:b/>
                        <w:sz w:val="22"/>
                        <w:szCs w:val="22"/>
                        <w:rtl/>
                        <w:lang w:bidi="ar-IQ"/>
                      </w:rPr>
                      <w:t>1</w:t>
                    </w:r>
                    <w:r w:rsidRPr="00231AF0">
                      <w:rPr>
                        <w:rFonts w:asciiTheme="majorBidi" w:hAnsiTheme="majorBidi" w:cstheme="majorBidi"/>
                        <w:b/>
                        <w:sz w:val="22"/>
                        <w:szCs w:val="22"/>
                        <w:lang w:bidi="ar-IQ"/>
                      </w:rPr>
                      <w:t>)</w:t>
                    </w:r>
                  </w:p>
                  <w:p w14:paraId="2CC44200" w14:textId="77777777" w:rsidR="005D4D8E" w:rsidRPr="00231AF0" w:rsidRDefault="005D4D8E" w:rsidP="005D4D8E">
                    <w:pPr>
                      <w:rPr>
                        <w:rFonts w:asciiTheme="majorBidi" w:hAnsiTheme="majorBidi" w:cstheme="majorBidi"/>
                        <w:b/>
                      </w:rPr>
                    </w:pPr>
                  </w:p>
                </w:txbxContent>
              </v:textbox>
            </v:shape>
          </w:pict>
        </mc:Fallback>
      </mc:AlternateContent>
    </w:r>
    <w:r w:rsidR="005D4D8E">
      <w:rPr>
        <w:rFonts w:asciiTheme="majorBidi" w:hAnsiTheme="majorBidi" w:cstheme="majorBidi"/>
        <w:b/>
        <w:bCs/>
        <w:sz w:val="22"/>
        <w:szCs w:val="22"/>
      </w:rPr>
      <w:tab/>
    </w:r>
    <w:r w:rsidR="000C4B86" w:rsidRPr="000C4B86">
      <w:rPr>
        <w:rFonts w:asciiTheme="majorBidi" w:hAnsiTheme="majorBidi" w:cstheme="majorBidi"/>
        <w:b/>
        <w:bCs/>
        <w:sz w:val="22"/>
        <w:szCs w:val="22"/>
      </w:rPr>
      <w:fldChar w:fldCharType="begin"/>
    </w:r>
    <w:r w:rsidR="000C4B86" w:rsidRPr="000C4B86">
      <w:rPr>
        <w:rFonts w:asciiTheme="majorBidi" w:hAnsiTheme="majorBidi" w:cstheme="majorBidi"/>
        <w:b/>
        <w:bCs/>
        <w:sz w:val="22"/>
        <w:szCs w:val="22"/>
      </w:rPr>
      <w:instrText xml:space="preserve"> PAGE   \* MERGEFORMAT </w:instrText>
    </w:r>
    <w:r w:rsidR="000C4B86" w:rsidRPr="000C4B86">
      <w:rPr>
        <w:rFonts w:asciiTheme="majorBidi" w:hAnsiTheme="majorBidi" w:cstheme="majorBidi"/>
        <w:b/>
        <w:bCs/>
        <w:sz w:val="22"/>
        <w:szCs w:val="22"/>
      </w:rPr>
      <w:fldChar w:fldCharType="separate"/>
    </w:r>
    <w:r w:rsidR="005245AC">
      <w:rPr>
        <w:rFonts w:asciiTheme="majorBidi" w:hAnsiTheme="majorBidi" w:cstheme="majorBidi"/>
        <w:b/>
        <w:bCs/>
        <w:noProof/>
        <w:sz w:val="22"/>
        <w:szCs w:val="22"/>
      </w:rPr>
      <w:t>51</w:t>
    </w:r>
    <w:r w:rsidR="000C4B86" w:rsidRPr="000C4B86">
      <w:rPr>
        <w:rFonts w:asciiTheme="majorBidi" w:hAnsiTheme="majorBidi" w:cstheme="majorBidi"/>
        <w:b/>
        <w:bCs/>
        <w:noProof/>
        <w:sz w:val="22"/>
        <w:szCs w:val="22"/>
      </w:rPr>
      <w:fldChar w:fldCharType="end"/>
    </w:r>
    <w:r w:rsidR="005D4D8E">
      <w:rPr>
        <w:rFonts w:asciiTheme="majorBidi" w:hAnsiTheme="majorBidi" w:cstheme="majorBidi"/>
        <w:b/>
        <w:bCs/>
        <w:noProof/>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8838" w14:textId="77777777" w:rsidR="00450B7C" w:rsidRDefault="0045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1211" w14:textId="77777777" w:rsidR="00F3536D" w:rsidRDefault="00F3536D" w:rsidP="00D05CD7">
      <w:pPr>
        <w:spacing w:after="0" w:line="240" w:lineRule="auto"/>
      </w:pPr>
      <w:r>
        <w:separator/>
      </w:r>
    </w:p>
  </w:footnote>
  <w:footnote w:type="continuationSeparator" w:id="0">
    <w:p w14:paraId="75D9368A" w14:textId="77777777" w:rsidR="00F3536D" w:rsidRDefault="00F3536D" w:rsidP="00D05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7152" w14:textId="77777777" w:rsidR="00450B7C" w:rsidRDefault="00450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A7EB" w14:textId="202EFA39" w:rsidR="00D05CD7" w:rsidRDefault="00177BF7">
    <w:pPr>
      <w:pStyle w:val="Header"/>
    </w:pPr>
    <w:r w:rsidRPr="006E0241">
      <w:rPr>
        <w:rFonts w:ascii="NexusSans-Italic" w:hAnsi="NexusSans-Italic"/>
        <w:i/>
        <w:iCs/>
        <w:noProof/>
        <w:color w:val="0000FF"/>
        <w:lang w:eastAsia="en-GB"/>
      </w:rPr>
      <w:drawing>
        <wp:anchor distT="0" distB="0" distL="114300" distR="114300" simplePos="0" relativeHeight="251672576" behindDoc="0" locked="0" layoutInCell="1" allowOverlap="1" wp14:anchorId="6A73B667" wp14:editId="5C2D0FCC">
          <wp:simplePos x="0" y="0"/>
          <wp:positionH relativeFrom="margin">
            <wp:posOffset>-601917</wp:posOffset>
          </wp:positionH>
          <wp:positionV relativeFrom="topMargin">
            <wp:posOffset>364006</wp:posOffset>
          </wp:positionV>
          <wp:extent cx="1405255" cy="281305"/>
          <wp:effectExtent l="0" t="0" r="4445" b="4445"/>
          <wp:wrapSquare wrapText="bothSides"/>
          <wp:docPr id="5"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5255" cy="2813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0AFA0AAB" wp14:editId="6121D426">
          <wp:simplePos x="0" y="0"/>
          <wp:positionH relativeFrom="column">
            <wp:posOffset>5241352</wp:posOffset>
          </wp:positionH>
          <wp:positionV relativeFrom="paragraph">
            <wp:posOffset>-313263</wp:posOffset>
          </wp:positionV>
          <wp:extent cx="1273175" cy="560070"/>
          <wp:effectExtent l="0" t="0" r="0" b="0"/>
          <wp:wrapTight wrapText="bothSides">
            <wp:wrapPolygon edited="0">
              <wp:start x="646" y="735"/>
              <wp:lineTo x="646" y="14694"/>
              <wp:lineTo x="2586" y="18367"/>
              <wp:lineTo x="7433" y="18367"/>
              <wp:lineTo x="20038" y="16898"/>
              <wp:lineTo x="21007" y="13959"/>
              <wp:lineTo x="19392" y="2204"/>
              <wp:lineTo x="6787" y="735"/>
              <wp:lineTo x="646" y="735"/>
            </wp:wrapPolygon>
          </wp:wrapTight>
          <wp:docPr id="453460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6086" name="Picture 45346086"/>
                  <pic:cNvPicPr/>
                </pic:nvPicPr>
                <pic:blipFill>
                  <a:blip r:embed="rId2">
                    <a:extLst>
                      <a:ext uri="{28A0092B-C50C-407E-A947-70E740481C1C}">
                        <a14:useLocalDpi xmlns:a14="http://schemas.microsoft.com/office/drawing/2010/main" val="0"/>
                      </a:ext>
                    </a:extLst>
                  </a:blip>
                  <a:stretch>
                    <a:fillRect/>
                  </a:stretch>
                </pic:blipFill>
                <pic:spPr>
                  <a:xfrm>
                    <a:off x="0" y="0"/>
                    <a:ext cx="1273175" cy="5600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70528" behindDoc="0" locked="0" layoutInCell="1" allowOverlap="1" wp14:anchorId="6B5F184C" wp14:editId="69D666D6">
              <wp:simplePos x="0" y="0"/>
              <wp:positionH relativeFrom="column">
                <wp:posOffset>855552</wp:posOffset>
              </wp:positionH>
              <wp:positionV relativeFrom="paragraph">
                <wp:posOffset>-59482</wp:posOffset>
              </wp:positionV>
              <wp:extent cx="4207297" cy="1828800"/>
              <wp:effectExtent l="0" t="0" r="0" b="8890"/>
              <wp:wrapNone/>
              <wp:docPr id="1926508710" name="Text Box 1"/>
              <wp:cNvGraphicFramePr/>
              <a:graphic xmlns:a="http://schemas.openxmlformats.org/drawingml/2006/main">
                <a:graphicData uri="http://schemas.microsoft.com/office/word/2010/wordprocessingShape">
                  <wps:wsp>
                    <wps:cNvSpPr txBox="1"/>
                    <wps:spPr>
                      <a:xfrm>
                        <a:off x="0" y="0"/>
                        <a:ext cx="4207297" cy="1828800"/>
                      </a:xfrm>
                      <a:prstGeom prst="rect">
                        <a:avLst/>
                      </a:prstGeom>
                      <a:noFill/>
                      <a:ln>
                        <a:noFill/>
                      </a:ln>
                    </wps:spPr>
                    <wps:txbx>
                      <w:txbxContent>
                        <w:p w14:paraId="0D822127" w14:textId="77777777" w:rsidR="00177BF7" w:rsidRDefault="00177BF7" w:rsidP="00177BF7">
                          <w:pPr>
                            <w:pStyle w:val="Header"/>
                            <w:jc w:val="center"/>
                            <w:rPr>
                              <w:sz w:val="18"/>
                              <w:szCs w:val="18"/>
                            </w:rPr>
                          </w:pPr>
                          <w:r w:rsidRPr="00517AF3">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NINEVAH UNIVERSITY JOURNAL OF MEDICAL SCI</w:t>
                          </w:r>
                          <w: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517AF3">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NCES</w:t>
                          </w:r>
                          <w:r w:rsidRPr="00517AF3">
                            <w:rPr>
                              <w:sz w:val="18"/>
                              <w:szCs w:val="18"/>
                            </w:rPr>
                            <w:t xml:space="preserve"> </w:t>
                          </w:r>
                          <w:r>
                            <w:rPr>
                              <w:sz w:val="18"/>
                              <w:szCs w:val="18"/>
                            </w:rPr>
                            <w:t xml:space="preserve">  </w:t>
                          </w:r>
                          <w:r w:rsidRPr="00517AF3">
                            <w:rPr>
                              <w:sz w:val="18"/>
                              <w:szCs w:val="18"/>
                            </w:rPr>
                            <w:t>V</w:t>
                          </w:r>
                          <w:r>
                            <w:rPr>
                              <w:sz w:val="18"/>
                              <w:szCs w:val="18"/>
                            </w:rPr>
                            <w:t>ol</w:t>
                          </w:r>
                          <w:r w:rsidRPr="00517AF3">
                            <w:rPr>
                              <w:sz w:val="18"/>
                              <w:szCs w:val="18"/>
                            </w:rPr>
                            <w:t xml:space="preserve">. 1, </w:t>
                          </w:r>
                          <w:r>
                            <w:rPr>
                              <w:sz w:val="18"/>
                              <w:szCs w:val="18"/>
                            </w:rPr>
                            <w:t>Issue 1, July 2025</w:t>
                          </w:r>
                        </w:p>
                        <w:p w14:paraId="543E8B7D" w14:textId="77777777" w:rsidR="00177BF7" w:rsidRDefault="00177BF7" w:rsidP="00177BF7">
                          <w:pPr>
                            <w:pStyle w:val="Header"/>
                            <w:jc w:val="center"/>
                            <w:rPr>
                              <w:sz w:val="18"/>
                              <w:szCs w:val="18"/>
                            </w:rPr>
                          </w:pPr>
                        </w:p>
                        <w:p w14:paraId="7E7A2EB2" w14:textId="77777777" w:rsidR="00177BF7" w:rsidRPr="00376D1A" w:rsidRDefault="00177BF7" w:rsidP="00177BF7">
                          <w:pPr>
                            <w:jc w:val="cente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76D1A">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ISSN </w:t>
                          </w:r>
                          <w:hyperlink r:id="rId3" w:history="1">
                            <w:r w:rsidRPr="00376D1A">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3106-5430</w:t>
                            </w:r>
                          </w:hyperlink>
                          <w:r w:rsidRPr="00376D1A">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(print)</w:t>
                          </w:r>
                        </w:p>
                        <w:p w14:paraId="305E5F45" w14:textId="77777777" w:rsidR="00177BF7" w:rsidRPr="00517AF3" w:rsidRDefault="00177BF7" w:rsidP="00177BF7">
                          <w:pPr>
                            <w:pStyle w:val="Heade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B5F184C" id="_x0000_t202" coordsize="21600,21600" o:spt="202" path="m,l,21600r21600,l21600,xe">
              <v:stroke joinstyle="miter"/>
              <v:path gradientshapeok="t" o:connecttype="rect"/>
            </v:shapetype>
            <v:shape id="Text Box 1" o:spid="_x0000_s1027" type="#_x0000_t202" style="position:absolute;margin-left:67.35pt;margin-top:-4.7pt;width:331.3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hsEgIAACQEAAAOAAAAZHJzL2Uyb0RvYy54bWysU99v2jAQfp+0/8Hy+0iI2KARoWKtmCah&#10;thKd+mwcm0SyfZ5tSNhfv7MJhXZ7mvbinO8u9+P7Ps9ve63IQTjfgqnoeJRTIgyHujW7iv54Xn2a&#10;UeIDMzVTYERFj8LT28XHD/POlqKABlQtHMEixpedrWgTgi2zzPNGaOZHYIXBoASnWcCr22W1Yx1W&#10;1yor8vxL1oGrrQMuvEfv/SlIF6m+lIKHRym9CERVFGcL6XTp3MYzW8xZuXPMNi0fxmD/MIVmrcGm&#10;r6XuWWBk79o/SumWO/Agw4iDzkDKlou0A24zzt9ts2mYFWkXBMfbV5j8/yvLHw4b++RI6L9CjwRG&#10;QDrrS4/OuE8vnY5fnJRgHCE8vsIm+kA4OidFPi1uppRwjI1nxWyWJ2Czy+/W+fBNgCbRqKhDXhJc&#10;7LD2AVti6jkldjOwapVK3CjzxoGJ0ZNdZoxW6Lf9MPgW6iPu4+BEtbd81WLPNfPhiTnkFldAvYZH&#10;PKSCrqIwWJQ04H79zR/zEXKMUtKhVirqf+6ZE5So7wbJuBlPJlFc6TL5PC3w4q4j2+uI2es7QDmO&#10;8WVYnsyYH9TZlA70C8p6GbtiiBmOvSsazuZdOCkYnwUXy2VKQjlZFtZmY3ksHUGLiD73L8zZAfaA&#10;jD3AWVWsfIf+KTf+6e1yH5CDRE0E+ITqgDtKMTE2PJuo9et7yro87sVvAAAA//8DAFBLAwQUAAYA&#10;CAAAACEAYjEOTN8AAAAKAQAADwAAAGRycy9kb3ducmV2LnhtbEyPy27CMBBF95X6D9ZU6g4cHiUQ&#10;4iDUh9QFm9J0P8TTOCIeR7Eh4e/rrtrl1RzdeybfjbYVV+p941jBbJqAIK6cbrhWUH6+TdYgfEDW&#10;2DomBTfysCvu73LMtBv4g67HUItYwj5DBSaELpPSV4Ys+qnriOPt2/UWQ4x9LXWPQyy3rZwnyUpa&#10;bDguGOzo2VB1Pl6sghD0fnYrX61//xoPL4NJqicslXp8GPdbEIHG8AfDr35UhyI6ndyFtRdtzItl&#10;GlEFk80SRATSTboAcVIwT9crkEUu/79Q/AAAAP//AwBQSwECLQAUAAYACAAAACEAtoM4kv4AAADh&#10;AQAAEwAAAAAAAAAAAAAAAAAAAAAAW0NvbnRlbnRfVHlwZXNdLnhtbFBLAQItABQABgAIAAAAIQA4&#10;/SH/1gAAAJQBAAALAAAAAAAAAAAAAAAAAC8BAABfcmVscy8ucmVsc1BLAQItABQABgAIAAAAIQC4&#10;qFhsEgIAACQEAAAOAAAAAAAAAAAAAAAAAC4CAABkcnMvZTJvRG9jLnhtbFBLAQItABQABgAIAAAA&#10;IQBiMQ5M3wAAAAoBAAAPAAAAAAAAAAAAAAAAAGwEAABkcnMvZG93bnJldi54bWxQSwUGAAAAAAQA&#10;BADzAAAAeAUAAAAA&#10;" filled="f" stroked="f">
              <v:textbox style="mso-fit-shape-to-text:t">
                <w:txbxContent>
                  <w:p w14:paraId="0D822127" w14:textId="77777777" w:rsidR="00177BF7" w:rsidRDefault="00177BF7" w:rsidP="00177BF7">
                    <w:pPr>
                      <w:pStyle w:val="Header"/>
                      <w:jc w:val="center"/>
                      <w:rPr>
                        <w:sz w:val="18"/>
                        <w:szCs w:val="18"/>
                      </w:rPr>
                    </w:pPr>
                    <w:r w:rsidRPr="00517AF3">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NINEVAH UNIVERSITY JOURNAL OF MEDICAL SCI</w:t>
                    </w:r>
                    <w: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517AF3">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NCES</w:t>
                    </w:r>
                    <w:r w:rsidRPr="00517AF3">
                      <w:rPr>
                        <w:sz w:val="18"/>
                        <w:szCs w:val="18"/>
                      </w:rPr>
                      <w:t xml:space="preserve"> </w:t>
                    </w:r>
                    <w:r>
                      <w:rPr>
                        <w:sz w:val="18"/>
                        <w:szCs w:val="18"/>
                      </w:rPr>
                      <w:t xml:space="preserve">  </w:t>
                    </w:r>
                    <w:r w:rsidRPr="00517AF3">
                      <w:rPr>
                        <w:sz w:val="18"/>
                        <w:szCs w:val="18"/>
                      </w:rPr>
                      <w:t>V</w:t>
                    </w:r>
                    <w:r>
                      <w:rPr>
                        <w:sz w:val="18"/>
                        <w:szCs w:val="18"/>
                      </w:rPr>
                      <w:t>ol</w:t>
                    </w:r>
                    <w:r w:rsidRPr="00517AF3">
                      <w:rPr>
                        <w:sz w:val="18"/>
                        <w:szCs w:val="18"/>
                      </w:rPr>
                      <w:t xml:space="preserve">. 1, </w:t>
                    </w:r>
                    <w:r>
                      <w:rPr>
                        <w:sz w:val="18"/>
                        <w:szCs w:val="18"/>
                      </w:rPr>
                      <w:t>Issue 1, July 2025</w:t>
                    </w:r>
                  </w:p>
                  <w:p w14:paraId="543E8B7D" w14:textId="77777777" w:rsidR="00177BF7" w:rsidRDefault="00177BF7" w:rsidP="00177BF7">
                    <w:pPr>
                      <w:pStyle w:val="Header"/>
                      <w:jc w:val="center"/>
                      <w:rPr>
                        <w:sz w:val="18"/>
                        <w:szCs w:val="18"/>
                      </w:rPr>
                    </w:pPr>
                  </w:p>
                  <w:p w14:paraId="7E7A2EB2" w14:textId="77777777" w:rsidR="00177BF7" w:rsidRPr="00376D1A" w:rsidRDefault="00177BF7" w:rsidP="00177BF7">
                    <w:pPr>
                      <w:jc w:val="cente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76D1A">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ISSN </w:t>
                    </w:r>
                    <w:hyperlink r:id="rId4" w:history="1">
                      <w:r w:rsidRPr="00376D1A">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3106-5430</w:t>
                      </w:r>
                    </w:hyperlink>
                    <w:r w:rsidRPr="00376D1A">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(print)</w:t>
                    </w:r>
                  </w:p>
                  <w:p w14:paraId="305E5F45" w14:textId="77777777" w:rsidR="00177BF7" w:rsidRPr="00517AF3" w:rsidRDefault="00177BF7" w:rsidP="00177BF7">
                    <w:pPr>
                      <w:pStyle w:val="Header"/>
                      <w:jc w:val="center"/>
                      <w:rPr>
                        <w:sz w:val="18"/>
                        <w:szCs w:val="18"/>
                      </w:rPr>
                    </w:pP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7DE5FE6" wp14:editId="03D0C1A2">
              <wp:simplePos x="0" y="0"/>
              <wp:positionH relativeFrom="margin">
                <wp:posOffset>5554301</wp:posOffset>
              </wp:positionH>
              <wp:positionV relativeFrom="paragraph">
                <wp:posOffset>196819</wp:posOffset>
              </wp:positionV>
              <wp:extent cx="1460500" cy="241300"/>
              <wp:effectExtent l="0" t="0" r="0" b="2540"/>
              <wp:wrapNone/>
              <wp:docPr id="1589346923" name="Text Box 1"/>
              <wp:cNvGraphicFramePr/>
              <a:graphic xmlns:a="http://schemas.openxmlformats.org/drawingml/2006/main">
                <a:graphicData uri="http://schemas.microsoft.com/office/word/2010/wordprocessingShape">
                  <wps:wsp>
                    <wps:cNvSpPr txBox="1"/>
                    <wps:spPr>
                      <a:xfrm>
                        <a:off x="0" y="0"/>
                        <a:ext cx="1460500" cy="241300"/>
                      </a:xfrm>
                      <a:prstGeom prst="rect">
                        <a:avLst/>
                      </a:prstGeom>
                      <a:noFill/>
                      <a:ln>
                        <a:noFill/>
                      </a:ln>
                    </wps:spPr>
                    <wps:txbx>
                      <w:txbxContent>
                        <w:p w14:paraId="118BDB36" w14:textId="4F20749A" w:rsidR="00D05CD7" w:rsidRPr="00D05CD7" w:rsidRDefault="00D05CD7" w:rsidP="00D05CD7">
                          <w:pPr>
                            <w:pStyle w:val="Header"/>
                            <w:rPr>
                              <w:b/>
                              <w:noProof/>
                              <w:color w:val="FFFFFF" w:themeColor="background1"/>
                              <w:spacing w:val="10"/>
                              <w:sz w:val="24"/>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pPr>
                          <w:r w:rsidRPr="00D05CD7">
                            <w:rPr>
                              <w:b/>
                              <w:noProof/>
                              <w:color w:val="FFFFFF" w:themeColor="background1"/>
                              <w:spacing w:val="10"/>
                              <w:sz w:val="24"/>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t>ARTICLE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DE5FE6" id="_x0000_s1028" type="#_x0000_t202" style="position:absolute;margin-left:437.35pt;margin-top:15.5pt;width:115pt;height:19pt;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5ODwIAACgEAAAOAAAAZHJzL2Uyb0RvYy54bWysU01v2zAMvQ/YfxB0X+xkabcZcYqsRYYB&#10;QVsgHXpWZDk2IImCxMTOfv0oOV/rdhp2kSmS5sd7T7O73mi2Vz60YEs+HuWcKSuhau225D9elh8+&#10;cxZQ2EposKrkBxX43fz9u1nnCjWBBnSlPKMiNhSdK3mD6IosC7JRRoQROGUpWIM3Aunqt1nlRUfV&#10;jc4meX6bdeAr50GqEMj7MAT5PNWvayXxqa6DQqZLTrNhOn06N/HM5jNRbL1wTSuPY4h/mMKI1lLT&#10;c6kHgYLtfPtHKdNKDwFqHEkwGdR1K1XagbYZ52+2WTfCqbQLgRPcGabw/8rKx/3aPXuG/VfoicAI&#10;SOdCEcgZ9+lrb+KXJmUUJwgPZ9hUj0zGn6a3+U1OIUmxyXT8kWwqk13+dj7gNwWGRaPknmhJaIn9&#10;KuCQekqJzSwsW60TNdr+5qCa0ZNdRowW9puetdXV+BuoDrSVh4Hw4OSypdYrEfBZeGKYpiXV4hMd&#10;tYau5HC0OGvA//ybP+YT8BTlrCPFlNySpDnT3y0R8mU8nUaBpcv05tOELv46srmO2J25B5LkmF6H&#10;k8mM+ahPZu3BvJK0F7EnhYSV1LnkeDLvcVAxPQ2pFouURJJyAld27WQsHZGLsL70r8K7I/ZIrD3C&#10;SVmieEPBkBv/DG6xQyIi8RNRHjA9gk9yTAwfn07U+/U9ZV0e+PwXAAAA//8DAFBLAwQUAAYACAAA&#10;ACEAeIO+1NwAAAAKAQAADwAAAGRycy9kb3ducmV2LnhtbEyPy07DMBBF90j8gzVI7KidUvoIcSpU&#10;YA0UPsCNhzgkHkex2wa+nskKljNzdebcYjv6TpxwiE0gDdlMgUCqgm2o1vDx/nyzBhGTIWu6QKjh&#10;GyNsy8uLwuQ2nOkNT/tUC4ZQzI0Gl1KfSxkrh97EWeiR+PYZBm8Sj0Mt7WDODPednCu1lN40xB+c&#10;6XHnsGr3R69hrfxL227mr9EvfrI7t3sMT/2X1tdX48M9iIRj+gvDpM/qULLTIRzJRtExY7VYcVTD&#10;bcadpkCmps1Bw3KjQJaF/F+h/AUAAP//AwBQSwECLQAUAAYACAAAACEAtoM4kv4AAADhAQAAEwAA&#10;AAAAAAAAAAAAAAAAAAAAW0NvbnRlbnRfVHlwZXNdLnhtbFBLAQItABQABgAIAAAAIQA4/SH/1gAA&#10;AJQBAAALAAAAAAAAAAAAAAAAAC8BAABfcmVscy8ucmVsc1BLAQItABQABgAIAAAAIQCO/H5ODwIA&#10;ACgEAAAOAAAAAAAAAAAAAAAAAC4CAABkcnMvZTJvRG9jLnhtbFBLAQItABQABgAIAAAAIQB4g77U&#10;3AAAAAoBAAAPAAAAAAAAAAAAAAAAAGkEAABkcnMvZG93bnJldi54bWxQSwUGAAAAAAQABADzAAAA&#10;cgUAAAAA&#10;" filled="f" stroked="f">
              <v:textbox style="mso-fit-shape-to-text:t">
                <w:txbxContent>
                  <w:p w14:paraId="118BDB36" w14:textId="4F20749A" w:rsidR="00D05CD7" w:rsidRPr="00D05CD7" w:rsidRDefault="00D05CD7" w:rsidP="00D05CD7">
                    <w:pPr>
                      <w:pStyle w:val="Header"/>
                      <w:rPr>
                        <w:b/>
                        <w:noProof/>
                        <w:color w:val="FFFFFF" w:themeColor="background1"/>
                        <w:spacing w:val="10"/>
                        <w:sz w:val="24"/>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pPr>
                    <w:r w:rsidRPr="00D05CD7">
                      <w:rPr>
                        <w:b/>
                        <w:noProof/>
                        <w:color w:val="FFFFFF" w:themeColor="background1"/>
                        <w:spacing w:val="10"/>
                        <w:sz w:val="24"/>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t>ARTICLE</w:t>
                    </w:r>
                  </w:p>
                </w:txbxContent>
              </v:textbox>
              <w10:wrap anchorx="margin"/>
            </v:shape>
          </w:pict>
        </mc:Fallback>
      </mc:AlternateContent>
    </w:r>
    <w:r>
      <w:rPr>
        <w:noProof/>
        <w:lang w:eastAsia="en-GB"/>
      </w:rPr>
      <mc:AlternateContent>
        <mc:Choice Requires="wps">
          <w:drawing>
            <wp:anchor distT="0" distB="0" distL="114300" distR="114300" simplePos="0" relativeHeight="251668480" behindDoc="1" locked="0" layoutInCell="1" allowOverlap="1" wp14:anchorId="19D30D0A" wp14:editId="41DE2935">
              <wp:simplePos x="0" y="0"/>
              <wp:positionH relativeFrom="margin">
                <wp:posOffset>5422900</wp:posOffset>
              </wp:positionH>
              <wp:positionV relativeFrom="paragraph">
                <wp:posOffset>197485</wp:posOffset>
              </wp:positionV>
              <wp:extent cx="1050290" cy="257810"/>
              <wp:effectExtent l="0" t="0" r="0" b="8890"/>
              <wp:wrapNone/>
              <wp:docPr id="1342217537" name="Rectangle: Top Corners Rounded 3"/>
              <wp:cNvGraphicFramePr/>
              <a:graphic xmlns:a="http://schemas.openxmlformats.org/drawingml/2006/main">
                <a:graphicData uri="http://schemas.microsoft.com/office/word/2010/wordprocessingShape">
                  <wps:wsp>
                    <wps:cNvSpPr/>
                    <wps:spPr>
                      <a:xfrm>
                        <a:off x="0" y="0"/>
                        <a:ext cx="1050290" cy="257810"/>
                      </a:xfrm>
                      <a:prstGeom prst="round2Same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5B53B" id="Rectangle: Top Corners Rounded 3" o:spid="_x0000_s1026" style="position:absolute;margin-left:427pt;margin-top:15.55pt;width:82.7pt;height:20.3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50290,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INjAIAAJAFAAAOAAAAZHJzL2Uyb0RvYy54bWysVEtv2zAMvg/YfxB0X/1A00dQpwhSdBjQ&#10;tUXToWdVlmIDkqhJSpzs14+SHSfogh2G5aCIIvmR/Ezy5narFdkI51swFS3OckqE4VC3ZlXRH6/3&#10;X64o8YGZmikwoqI74ent7POnm85ORQkNqFo4giDGTztb0SYEO80yzxuhmT8DKwwqJTjNAopuldWO&#10;dYiuVVbm+UXWgautAy68x9e7XklnCV9KwcOTlF4EoiqKuYV0unS+xzOb3bDpyjHbtHxIg/1DFpq1&#10;BoOOUHcsMLJ27R9QuuUOPMhwxkFnIGXLRaoBqynyD9UsG2ZFqgXJ8Xakyf8/WP64WdpnhzR01k89&#10;XmMVW+l0/Mf8yDaRtRvJEttAOD4W+SQvr5FTjrpycnlVJDazg7d1PnwVoEm8VNTB2tTlkmnxgp8l&#10;scU2Dz5gbHTaG8ewHlRb37dKJSG2glgoRzYMPyLjXJhwkdzVWn+Hun+f5PiLnxOxUvdEl146RlMm&#10;YhqI6L1xfMkOxadb2CkR7ZR5EZK0NZZbpogj8nEyRa9qWC365yImczKXBBiRJcYfsQeAU4UWA8xg&#10;H11FauvROf9bYn2Jo0eKDCaMzro14E4BqDBG7u33JPXURJbeod49O+KgHypv+X2LH/qB+fDMHE4R&#10;9gZuhvCEh1TQVRSGGyUNuF+n3qM9NjdqKelwKivqf66ZE5Sobwbb/ro4P49jnITzyWWJgjvWvB9r&#10;zFovAHumwB1kebpG+6D2V+lAv+ECmceoqGKGY+yK8uD2wiL02wJXEBfzeTLD0bUsPJil5RE8shrb&#10;93X7xpwduj3gnDzCfoLZ9EOr97bR08B8HUC2aQ4OvA5849inJh5WVNwrx3KyOizS2W8AAAD//wMA&#10;UEsDBBQABgAIAAAAIQDpzcAJ4QAAAAoBAAAPAAAAZHJzL2Rvd25yZXYueG1sTI9BS8NAEIXvgv9h&#10;GcGLtJu11dSYTSmFQkF6sFbwOM2OSTA7G7PbJv57tyc9DvP43vfy5WhbcabeN441qGkCgrh0puFK&#10;w+FtM1mA8AHZYOuYNPyQh2VxfZVjZtzAr3Teh0pECPsMNdQhdJmUvqzJop+6jjj+Pl1vMcSzr6Tp&#10;cYhw28r7JHmUFhuODTV2tK6p/NqfrIb05fsd7+SuWaWzTbI22w8z0Fbr25tx9Qwi0Bj+wnDRj+pQ&#10;RKejO7HxotWweJjHLUHDTCkQl0CinuYgjhGvUpBFLv9PKH4BAAD//wMAUEsBAi0AFAAGAAgAAAAh&#10;ALaDOJL+AAAA4QEAABMAAAAAAAAAAAAAAAAAAAAAAFtDb250ZW50X1R5cGVzXS54bWxQSwECLQAU&#10;AAYACAAAACEAOP0h/9YAAACUAQAACwAAAAAAAAAAAAAAAAAvAQAAX3JlbHMvLnJlbHNQSwECLQAU&#10;AAYACAAAACEANySyDYwCAACQBQAADgAAAAAAAAAAAAAAAAAuAgAAZHJzL2Uyb0RvYy54bWxQSwEC&#10;LQAUAAYACAAAACEA6c3ACeEAAAAKAQAADwAAAAAAAAAAAAAAAADmBAAAZHJzL2Rvd25yZXYueG1s&#10;UEsFBgAAAAAEAAQA8wAAAPQFAAAAAA==&#10;" path="m42969,r964352,c1031052,,1050290,19238,1050290,42969r,214841l1050290,257810,,257810r,l,42969c,19238,19238,,42969,xe" fillcolor="#375623 [1609]" stroked="f" strokeweight="1pt">
              <v:stroke joinstyle="miter"/>
              <v:path arrowok="t" o:connecttype="custom" o:connectlocs="42969,0;1007321,0;1050290,42969;1050290,257810;1050290,257810;0,257810;0,257810;0,42969;42969,0" o:connectangles="0,0,0,0,0,0,0,0,0"/>
              <w10:wrap anchorx="margin"/>
            </v:shape>
          </w:pict>
        </mc:Fallback>
      </mc:AlternateContent>
    </w:r>
    <w:r w:rsidR="00743771">
      <w:rPr>
        <w:noProof/>
        <w:lang w:eastAsia="en-GB"/>
      </w:rPr>
      <mc:AlternateContent>
        <mc:Choice Requires="wps">
          <w:drawing>
            <wp:anchor distT="0" distB="0" distL="114300" distR="114300" simplePos="0" relativeHeight="251659264" behindDoc="0" locked="0" layoutInCell="1" allowOverlap="1" wp14:anchorId="293AEF96" wp14:editId="4350CAD5">
              <wp:simplePos x="0" y="0"/>
              <wp:positionH relativeFrom="column">
                <wp:posOffset>-52855</wp:posOffset>
              </wp:positionH>
              <wp:positionV relativeFrom="paragraph">
                <wp:posOffset>205434</wp:posOffset>
              </wp:positionV>
              <wp:extent cx="5015986" cy="0"/>
              <wp:effectExtent l="0" t="0" r="0" b="0"/>
              <wp:wrapNone/>
              <wp:docPr id="1894515859" name="Straight Connector 1"/>
              <wp:cNvGraphicFramePr/>
              <a:graphic xmlns:a="http://schemas.openxmlformats.org/drawingml/2006/main">
                <a:graphicData uri="http://schemas.microsoft.com/office/word/2010/wordprocessingShape">
                  <wps:wsp>
                    <wps:cNvCnPr/>
                    <wps:spPr>
                      <a:xfrm flipV="1">
                        <a:off x="0" y="0"/>
                        <a:ext cx="5015986"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47DE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6.2pt" to="39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DPzgEAAAYEAAAOAAAAZHJzL2Uyb0RvYy54bWysU01v2zAMvQ/YfxB0X+wUSNAZcXpo0V72&#10;UXTr7qpMxQIkUZDU2Pn3peTEKdZhwIb6IJgS3yPfE7W5Gq1hewhRo2v5clFzBk5ip92u5Y8/bz9d&#10;chaTcJ0w6KDlB4j8avvxw2bwDVxgj6aDwIjExWbwLe9T8k1VRdmDFXGBHhwdKgxWJArDruqCGIjd&#10;muqirtfVgKHzASXESLs30yHfFn6lQKbvSkVIzLScektlDWV9ymu13YhmF4TvtTy2If6jCyu0o6Iz&#10;1Y1Igj0H/YbKahkwokoLibZCpbSEooHULOvf1PzohYeihcyJfrYpvh+t/La/dveBbBh8bKK/D1nF&#10;qIJlymj/i+606KJO2VhsO8y2wZiYpM1VvVx9vlxzJk9n1USRqXyI6Q7QsvzTcqNdViQasf8SE5Wl&#10;1FNK3jYurxGN7m61MSXIswDXJrC9oFsUUoJL60Jinu1X7Kb9VU1fvk9iLOOTIVN0ZqOzXKE6iy1/&#10;6WBgqv4AiumORE2yZ6LXtZfHKsZRdoYp6nQG1qWzvwKP+RkKZUb/BTwjSmV0aQZb7TD8qXoaTy2r&#10;Kf/kwKQ7W/CE3aGMQbGGhq04d3wYeZpfxwV+fr7bFwAAAP//AwBQSwMEFAAGAAgAAAAhAFPTKHTb&#10;AAAACAEAAA8AAABkcnMvZG93bnJldi54bWxMj0FPg0AQhe8m/Q+bMfHWLgVTEVkaQ6J3a2M8DuwI&#10;KDtL2aWl/941PdTjm/fy3jf5dja9ONLoOssK1qsIBHFtdceNgv37yzIF4Tyyxt4yKTiTg22xuMkx&#10;0/bEb3Tc+UaEEnYZKmi9HzIpXd2SQbeyA3Hwvuxo0Ac5NlKPeArlppdxFG2kwY7DQosDlS3VP7vJ&#10;KKB6z4e0TMyjnarP8vu1jD+Gs1J3t/PzEwhPs7+G4Q8/oEMRmCo7sXaiV7BMk5BUkMT3IIL/kK43&#10;IKrLQRa5/P9A8QsAAP//AwBQSwECLQAUAAYACAAAACEAtoM4kv4AAADhAQAAEwAAAAAAAAAAAAAA&#10;AAAAAAAAW0NvbnRlbnRfVHlwZXNdLnhtbFBLAQItABQABgAIAAAAIQA4/SH/1gAAAJQBAAALAAAA&#10;AAAAAAAAAAAAAC8BAABfcmVscy8ucmVsc1BLAQItABQABgAIAAAAIQDfqCDPzgEAAAYEAAAOAAAA&#10;AAAAAAAAAAAAAC4CAABkcnMvZTJvRG9jLnhtbFBLAQItABQABgAIAAAAIQBT0yh02wAAAAgBAAAP&#10;AAAAAAAAAAAAAAAAACgEAABkcnMvZG93bnJldi54bWxQSwUGAAAAAAQABADzAAAAMAUAAAAA&#10;" strokecolor="#375623 [1609]"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B8A5" w14:textId="77777777" w:rsidR="00450B7C" w:rsidRDefault="00450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4227D"/>
    <w:multiLevelType w:val="hybridMultilevel"/>
    <w:tmpl w:val="4964E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B76DD"/>
    <w:multiLevelType w:val="multilevel"/>
    <w:tmpl w:val="9D58A4B6"/>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68371962">
    <w:abstractNumId w:val="0"/>
  </w:num>
  <w:num w:numId="2" w16cid:durableId="159647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3MzO3MDQxMzYwNLNU0lEKTi0uzszPAykwrAUA6jN+PywAAAA="/>
  </w:docVars>
  <w:rsids>
    <w:rsidRoot w:val="00D05CD7"/>
    <w:rsid w:val="00011CD4"/>
    <w:rsid w:val="00031284"/>
    <w:rsid w:val="00040A19"/>
    <w:rsid w:val="000445A2"/>
    <w:rsid w:val="00047E19"/>
    <w:rsid w:val="00054CD0"/>
    <w:rsid w:val="00084CBE"/>
    <w:rsid w:val="0009118A"/>
    <w:rsid w:val="000949AD"/>
    <w:rsid w:val="00096C09"/>
    <w:rsid w:val="000A0556"/>
    <w:rsid w:val="000B3414"/>
    <w:rsid w:val="000C0C42"/>
    <w:rsid w:val="000C2B36"/>
    <w:rsid w:val="000C2DA3"/>
    <w:rsid w:val="000C4B86"/>
    <w:rsid w:val="000D36DA"/>
    <w:rsid w:val="000F2BED"/>
    <w:rsid w:val="00131971"/>
    <w:rsid w:val="00131BED"/>
    <w:rsid w:val="00142CBB"/>
    <w:rsid w:val="001433CE"/>
    <w:rsid w:val="00177BF7"/>
    <w:rsid w:val="00180444"/>
    <w:rsid w:val="00190182"/>
    <w:rsid w:val="001A1EB0"/>
    <w:rsid w:val="001E0D38"/>
    <w:rsid w:val="0021542B"/>
    <w:rsid w:val="00224076"/>
    <w:rsid w:val="00227CEB"/>
    <w:rsid w:val="002605F9"/>
    <w:rsid w:val="00281B05"/>
    <w:rsid w:val="002C6B72"/>
    <w:rsid w:val="003032EE"/>
    <w:rsid w:val="00315DC9"/>
    <w:rsid w:val="00327FE7"/>
    <w:rsid w:val="003326F9"/>
    <w:rsid w:val="00332E6F"/>
    <w:rsid w:val="00345372"/>
    <w:rsid w:val="0035148D"/>
    <w:rsid w:val="003727BE"/>
    <w:rsid w:val="003B7DD1"/>
    <w:rsid w:val="003D4CF9"/>
    <w:rsid w:val="003E169F"/>
    <w:rsid w:val="00403FF2"/>
    <w:rsid w:val="004141E7"/>
    <w:rsid w:val="0041627F"/>
    <w:rsid w:val="00422E8A"/>
    <w:rsid w:val="00450B7C"/>
    <w:rsid w:val="00467293"/>
    <w:rsid w:val="0047443B"/>
    <w:rsid w:val="00476DF8"/>
    <w:rsid w:val="004917A0"/>
    <w:rsid w:val="004E5FF4"/>
    <w:rsid w:val="00503C6E"/>
    <w:rsid w:val="00517AF3"/>
    <w:rsid w:val="00520951"/>
    <w:rsid w:val="005232C8"/>
    <w:rsid w:val="005245AC"/>
    <w:rsid w:val="005515C5"/>
    <w:rsid w:val="005564E7"/>
    <w:rsid w:val="005729B1"/>
    <w:rsid w:val="00573D35"/>
    <w:rsid w:val="00591F14"/>
    <w:rsid w:val="005A579E"/>
    <w:rsid w:val="005A5AE3"/>
    <w:rsid w:val="005C2337"/>
    <w:rsid w:val="005C3BDD"/>
    <w:rsid w:val="005D4D8E"/>
    <w:rsid w:val="005F49E2"/>
    <w:rsid w:val="00605650"/>
    <w:rsid w:val="006358C4"/>
    <w:rsid w:val="0065362D"/>
    <w:rsid w:val="006B06F4"/>
    <w:rsid w:val="006E7C89"/>
    <w:rsid w:val="007178A5"/>
    <w:rsid w:val="00717BCE"/>
    <w:rsid w:val="00727355"/>
    <w:rsid w:val="00743771"/>
    <w:rsid w:val="007609C4"/>
    <w:rsid w:val="007626D5"/>
    <w:rsid w:val="007764DF"/>
    <w:rsid w:val="0078364D"/>
    <w:rsid w:val="00783997"/>
    <w:rsid w:val="007A3591"/>
    <w:rsid w:val="007B77C6"/>
    <w:rsid w:val="007C5EF6"/>
    <w:rsid w:val="007C6FD4"/>
    <w:rsid w:val="007E2077"/>
    <w:rsid w:val="007E41EB"/>
    <w:rsid w:val="007F3F16"/>
    <w:rsid w:val="008247CE"/>
    <w:rsid w:val="00851402"/>
    <w:rsid w:val="00857368"/>
    <w:rsid w:val="008601A0"/>
    <w:rsid w:val="008D7A4F"/>
    <w:rsid w:val="008E4C5A"/>
    <w:rsid w:val="008F19F8"/>
    <w:rsid w:val="00903C1F"/>
    <w:rsid w:val="00910042"/>
    <w:rsid w:val="009173A4"/>
    <w:rsid w:val="0092614B"/>
    <w:rsid w:val="00927B81"/>
    <w:rsid w:val="009325D7"/>
    <w:rsid w:val="00941278"/>
    <w:rsid w:val="00942BA7"/>
    <w:rsid w:val="00976DD3"/>
    <w:rsid w:val="009C347A"/>
    <w:rsid w:val="009C4F1D"/>
    <w:rsid w:val="009D01C1"/>
    <w:rsid w:val="009E5DD6"/>
    <w:rsid w:val="009E6432"/>
    <w:rsid w:val="009F15A8"/>
    <w:rsid w:val="009F7112"/>
    <w:rsid w:val="00A015A5"/>
    <w:rsid w:val="00A10FD3"/>
    <w:rsid w:val="00A1260A"/>
    <w:rsid w:val="00A31029"/>
    <w:rsid w:val="00A35203"/>
    <w:rsid w:val="00A81A64"/>
    <w:rsid w:val="00AD4970"/>
    <w:rsid w:val="00B35F49"/>
    <w:rsid w:val="00B5109C"/>
    <w:rsid w:val="00B5216D"/>
    <w:rsid w:val="00B862D3"/>
    <w:rsid w:val="00B941F4"/>
    <w:rsid w:val="00B957F1"/>
    <w:rsid w:val="00BA2DEB"/>
    <w:rsid w:val="00BB31D6"/>
    <w:rsid w:val="00BE7FB4"/>
    <w:rsid w:val="00C12658"/>
    <w:rsid w:val="00C2240F"/>
    <w:rsid w:val="00C94B06"/>
    <w:rsid w:val="00D05CD7"/>
    <w:rsid w:val="00D16C7E"/>
    <w:rsid w:val="00D41A27"/>
    <w:rsid w:val="00D54500"/>
    <w:rsid w:val="00DE398C"/>
    <w:rsid w:val="00E059BF"/>
    <w:rsid w:val="00E520A2"/>
    <w:rsid w:val="00EF4FA3"/>
    <w:rsid w:val="00EF54DB"/>
    <w:rsid w:val="00F03769"/>
    <w:rsid w:val="00F10E0E"/>
    <w:rsid w:val="00F3536D"/>
    <w:rsid w:val="00F75110"/>
    <w:rsid w:val="00F81D62"/>
    <w:rsid w:val="00FD052E"/>
    <w:rsid w:val="00FD6D2B"/>
    <w:rsid w:val="00FE0836"/>
    <w:rsid w:val="00FF12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C0137"/>
  <w15:chartTrackingRefBased/>
  <w15:docId w15:val="{014C347B-331D-4087-8443-820B9C75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
    <w:qFormat/>
    <w:rsid w:val="007626D5"/>
    <w:rPr>
      <w:rFonts w:ascii="Franklin Gothic Medium" w:hAnsi="Franklin Gothic Medium"/>
      <w:color w:val="385623" w:themeColor="accent6" w:themeShade="80"/>
      <w:sz w:val="40"/>
    </w:rPr>
  </w:style>
  <w:style w:type="paragraph" w:styleId="Heading1">
    <w:name w:val="heading 1"/>
    <w:basedOn w:val="Normal"/>
    <w:next w:val="Normal"/>
    <w:link w:val="Heading1Char"/>
    <w:uiPriority w:val="9"/>
    <w:qFormat/>
    <w:rsid w:val="00D05CD7"/>
    <w:pPr>
      <w:keepNext/>
      <w:keepLines/>
      <w:spacing w:before="360" w:after="80"/>
      <w:outlineLvl w:val="0"/>
    </w:pPr>
    <w:rPr>
      <w:rFonts w:asciiTheme="majorHAnsi" w:eastAsiaTheme="majorEastAsia" w:hAnsiTheme="majorHAnsi" w:cstheme="majorBidi"/>
      <w:color w:val="2F5496" w:themeColor="accent1" w:themeShade="BF"/>
      <w:szCs w:val="40"/>
    </w:rPr>
  </w:style>
  <w:style w:type="paragraph" w:styleId="Heading2">
    <w:name w:val="heading 2"/>
    <w:basedOn w:val="Normal"/>
    <w:next w:val="Normal"/>
    <w:link w:val="Heading2Char"/>
    <w:uiPriority w:val="9"/>
    <w:semiHidden/>
    <w:unhideWhenUsed/>
    <w:qFormat/>
    <w:rsid w:val="00D05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C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C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C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C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C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C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C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C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CD7"/>
    <w:rPr>
      <w:rFonts w:eastAsiaTheme="majorEastAsia" w:cstheme="majorBidi"/>
      <w:color w:val="272727" w:themeColor="text1" w:themeTint="D8"/>
    </w:rPr>
  </w:style>
  <w:style w:type="paragraph" w:styleId="Title">
    <w:name w:val="Title"/>
    <w:basedOn w:val="Normal"/>
    <w:next w:val="Normal"/>
    <w:link w:val="TitleChar"/>
    <w:uiPriority w:val="10"/>
    <w:qFormat/>
    <w:rsid w:val="00D05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CD7"/>
    <w:pPr>
      <w:spacing w:before="160"/>
      <w:jc w:val="center"/>
    </w:pPr>
    <w:rPr>
      <w:i/>
      <w:iCs/>
      <w:color w:val="404040" w:themeColor="text1" w:themeTint="BF"/>
    </w:rPr>
  </w:style>
  <w:style w:type="character" w:customStyle="1" w:styleId="QuoteChar">
    <w:name w:val="Quote Char"/>
    <w:basedOn w:val="DefaultParagraphFont"/>
    <w:link w:val="Quote"/>
    <w:uiPriority w:val="29"/>
    <w:rsid w:val="00D05CD7"/>
    <w:rPr>
      <w:i/>
      <w:iCs/>
      <w:color w:val="404040" w:themeColor="text1" w:themeTint="BF"/>
    </w:rPr>
  </w:style>
  <w:style w:type="paragraph" w:styleId="ListParagraph">
    <w:name w:val="List Paragraph"/>
    <w:basedOn w:val="Normal"/>
    <w:uiPriority w:val="34"/>
    <w:qFormat/>
    <w:rsid w:val="00D05CD7"/>
    <w:pPr>
      <w:ind w:left="720"/>
      <w:contextualSpacing/>
    </w:pPr>
  </w:style>
  <w:style w:type="character" w:styleId="IntenseEmphasis">
    <w:name w:val="Intense Emphasis"/>
    <w:basedOn w:val="DefaultParagraphFont"/>
    <w:uiPriority w:val="21"/>
    <w:qFormat/>
    <w:rsid w:val="00D05CD7"/>
    <w:rPr>
      <w:i/>
      <w:iCs/>
      <w:color w:val="2F5496" w:themeColor="accent1" w:themeShade="BF"/>
    </w:rPr>
  </w:style>
  <w:style w:type="paragraph" w:styleId="IntenseQuote">
    <w:name w:val="Intense Quote"/>
    <w:basedOn w:val="Normal"/>
    <w:next w:val="Normal"/>
    <w:link w:val="IntenseQuoteChar"/>
    <w:uiPriority w:val="30"/>
    <w:qFormat/>
    <w:rsid w:val="00D05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CD7"/>
    <w:rPr>
      <w:i/>
      <w:iCs/>
      <w:color w:val="2F5496" w:themeColor="accent1" w:themeShade="BF"/>
    </w:rPr>
  </w:style>
  <w:style w:type="character" w:styleId="IntenseReference">
    <w:name w:val="Intense Reference"/>
    <w:basedOn w:val="DefaultParagraphFont"/>
    <w:uiPriority w:val="32"/>
    <w:qFormat/>
    <w:rsid w:val="00D05CD7"/>
    <w:rPr>
      <w:b/>
      <w:bCs/>
      <w:smallCaps/>
      <w:color w:val="2F5496" w:themeColor="accent1" w:themeShade="BF"/>
      <w:spacing w:val="5"/>
    </w:rPr>
  </w:style>
  <w:style w:type="paragraph" w:styleId="Header">
    <w:name w:val="header"/>
    <w:basedOn w:val="Normal"/>
    <w:link w:val="HeaderChar"/>
    <w:uiPriority w:val="99"/>
    <w:unhideWhenUsed/>
    <w:rsid w:val="00D05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CD7"/>
  </w:style>
  <w:style w:type="paragraph" w:styleId="Footer">
    <w:name w:val="footer"/>
    <w:basedOn w:val="Normal"/>
    <w:link w:val="FooterChar"/>
    <w:uiPriority w:val="99"/>
    <w:unhideWhenUsed/>
    <w:rsid w:val="00D05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CD7"/>
  </w:style>
  <w:style w:type="table" w:styleId="TableGrid">
    <w:name w:val="Table Grid"/>
    <w:basedOn w:val="TableNormal"/>
    <w:uiPriority w:val="59"/>
    <w:qFormat/>
    <w:rsid w:val="00D05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ons">
    <w:name w:val="Affiliatons"/>
    <w:basedOn w:val="Normal"/>
    <w:link w:val="AffiliatonsChar"/>
    <w:qFormat/>
    <w:rsid w:val="007626D5"/>
    <w:pPr>
      <w:spacing w:after="0" w:line="240" w:lineRule="auto"/>
      <w:jc w:val="both"/>
    </w:pPr>
    <w:rPr>
      <w:rFonts w:asciiTheme="majorBidi" w:hAnsiTheme="majorBidi" w:cstheme="majorBidi"/>
      <w:i/>
      <w:color w:val="000000"/>
      <w:sz w:val="20"/>
      <w:szCs w:val="48"/>
      <w:lang w:bidi="ar-IQ"/>
      <w14:textFill>
        <w14:solidFill>
          <w14:srgbClr w14:val="000000">
            <w14:lumMod w14:val="75000"/>
          </w14:srgbClr>
        </w14:solidFill>
      </w14:textFill>
    </w:rPr>
  </w:style>
  <w:style w:type="character" w:customStyle="1" w:styleId="AffiliatonsChar">
    <w:name w:val="Affiliatons Char"/>
    <w:basedOn w:val="DefaultParagraphFont"/>
    <w:link w:val="Affiliatons"/>
    <w:rsid w:val="007626D5"/>
    <w:rPr>
      <w:rFonts w:asciiTheme="majorBidi" w:hAnsiTheme="majorBidi" w:cstheme="majorBidi"/>
      <w:i/>
      <w:color w:val="000000"/>
      <w:sz w:val="20"/>
      <w:szCs w:val="48"/>
      <w:lang w:bidi="ar-IQ"/>
      <w14:textFill>
        <w14:solidFill>
          <w14:srgbClr w14:val="000000">
            <w14:lumMod w14:val="75000"/>
          </w14:srgbClr>
        </w14:solidFill>
      </w14:textFill>
    </w:rPr>
  </w:style>
  <w:style w:type="character" w:styleId="Hyperlink">
    <w:name w:val="Hyperlink"/>
    <w:basedOn w:val="DefaultParagraphFont"/>
    <w:uiPriority w:val="99"/>
    <w:unhideWhenUsed/>
    <w:rsid w:val="00743771"/>
    <w:rPr>
      <w:color w:val="0563C1" w:themeColor="hyperlink"/>
      <w:u w:val="single"/>
    </w:rPr>
  </w:style>
  <w:style w:type="character" w:customStyle="1" w:styleId="UnresolvedMention1">
    <w:name w:val="Unresolved Mention1"/>
    <w:basedOn w:val="DefaultParagraphFont"/>
    <w:uiPriority w:val="99"/>
    <w:semiHidden/>
    <w:unhideWhenUsed/>
    <w:rsid w:val="00743771"/>
    <w:rPr>
      <w:color w:val="605E5C"/>
      <w:shd w:val="clear" w:color="auto" w:fill="E1DFDD"/>
    </w:rPr>
  </w:style>
  <w:style w:type="paragraph" w:styleId="NoSpacing">
    <w:name w:val="No Spacing"/>
    <w:aliases w:val="KEY"/>
    <w:link w:val="NoSpacingChar"/>
    <w:uiPriority w:val="1"/>
    <w:qFormat/>
    <w:rsid w:val="00F81D62"/>
    <w:pPr>
      <w:spacing w:after="240" w:line="240" w:lineRule="auto"/>
    </w:pPr>
    <w:rPr>
      <w:rFonts w:asciiTheme="majorBidi" w:hAnsiTheme="majorBidi"/>
      <w:color w:val="385623" w:themeColor="accent6" w:themeShade="80"/>
      <w:spacing w:val="30"/>
    </w:rPr>
  </w:style>
  <w:style w:type="paragraph" w:customStyle="1" w:styleId="ABSTRACTBODY">
    <w:name w:val="ABSTRACT BODY"/>
    <w:basedOn w:val="Affiliatons"/>
    <w:link w:val="ABSTRACTBODYChar"/>
    <w:qFormat/>
    <w:rsid w:val="00F81D62"/>
    <w:pPr>
      <w:spacing w:line="360" w:lineRule="auto"/>
      <w:jc w:val="left"/>
    </w:pPr>
    <w:rPr>
      <w:i w:val="0"/>
      <w14:cntxtAlts/>
    </w:rPr>
  </w:style>
  <w:style w:type="character" w:customStyle="1" w:styleId="NoSpacingChar">
    <w:name w:val="No Spacing Char"/>
    <w:aliases w:val="KEY Char"/>
    <w:basedOn w:val="DefaultParagraphFont"/>
    <w:link w:val="NoSpacing"/>
    <w:uiPriority w:val="1"/>
    <w:rsid w:val="00F81D62"/>
    <w:rPr>
      <w:rFonts w:asciiTheme="majorBidi" w:hAnsiTheme="majorBidi"/>
      <w:color w:val="385623" w:themeColor="accent6" w:themeShade="80"/>
      <w:spacing w:val="30"/>
    </w:rPr>
  </w:style>
  <w:style w:type="character" w:customStyle="1" w:styleId="ABSTRACTBODYChar">
    <w:name w:val="ABSTRACT BODY Char"/>
    <w:basedOn w:val="NoSpacingChar"/>
    <w:link w:val="ABSTRACTBODY"/>
    <w:rsid w:val="00F81D62"/>
    <w:rPr>
      <w:rFonts w:asciiTheme="majorBidi" w:hAnsiTheme="majorBidi" w:cstheme="majorBidi"/>
      <w:color w:val="000000"/>
      <w:spacing w:val="30"/>
      <w:sz w:val="20"/>
      <w:szCs w:val="48"/>
      <w:lang w:bidi="ar-IQ"/>
      <w14:textFill>
        <w14:solidFill>
          <w14:srgbClr w14:val="000000">
            <w14:lumMod w14:val="75000"/>
          </w14:srgbClr>
        </w14:solidFill>
      </w14:textFill>
      <w14:cntxtAlts/>
    </w:rPr>
  </w:style>
  <w:style w:type="paragraph" w:customStyle="1" w:styleId="Articalhistory">
    <w:name w:val="Artical history"/>
    <w:basedOn w:val="ABSTRACTBODY"/>
    <w:link w:val="ArticalhistoryChar"/>
    <w:qFormat/>
    <w:rsid w:val="004917A0"/>
    <w:pPr>
      <w:spacing w:line="240" w:lineRule="auto"/>
      <w:jc w:val="both"/>
    </w:pPr>
    <w:rPr>
      <w:sz w:val="24"/>
    </w:rPr>
  </w:style>
  <w:style w:type="character" w:customStyle="1" w:styleId="ArticalhistoryChar">
    <w:name w:val="Artical history Char"/>
    <w:basedOn w:val="ABSTRACTBODYChar"/>
    <w:link w:val="Articalhistory"/>
    <w:rsid w:val="004917A0"/>
    <w:rPr>
      <w:rFonts w:asciiTheme="majorBidi" w:hAnsiTheme="majorBidi" w:cstheme="majorBidi"/>
      <w:color w:val="000000"/>
      <w:spacing w:val="30"/>
      <w:sz w:val="20"/>
      <w:szCs w:val="48"/>
      <w:lang w:bidi="ar-IQ"/>
      <w14:textFill>
        <w14:solidFill>
          <w14:srgbClr w14:val="000000">
            <w14:lumMod w14:val="75000"/>
          </w14:srgbClr>
        </w14:solidFill>
      </w14:textFill>
      <w14:cntxtAlts/>
    </w:rPr>
  </w:style>
  <w:style w:type="table" w:styleId="TableGridLight">
    <w:name w:val="Grid Table Light"/>
    <w:basedOn w:val="TableNormal"/>
    <w:uiPriority w:val="40"/>
    <w:rsid w:val="00047E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35F49"/>
    <w:rPr>
      <w:rFonts w:ascii="Times New Roman" w:hAnsi="Times New Roman" w:cs="Times New Roman"/>
      <w:sz w:val="24"/>
    </w:rPr>
  </w:style>
  <w:style w:type="character" w:styleId="UnresolvedMention">
    <w:name w:val="Unresolved Mention"/>
    <w:basedOn w:val="DefaultParagraphFont"/>
    <w:uiPriority w:val="99"/>
    <w:semiHidden/>
    <w:unhideWhenUsed/>
    <w:rsid w:val="00450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005-7684" TargetMode="External"/><Relationship Id="rId13" Type="http://schemas.openxmlformats.org/officeDocument/2006/relationships/hyperlink" Target="https://doi.org/10.3389/fendo.2020.0026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imjasim@tu.edu.iq"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s12020-015-0655-1"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nujms.org" TargetMode="External"/><Relationship Id="rId2" Type="http://schemas.openxmlformats.org/officeDocument/2006/relationships/hyperlink" Target="http://creativecommons.org/licenses/by/4.0/" TargetMode="External"/><Relationship Id="rId1" Type="http://schemas.openxmlformats.org/officeDocument/2006/relationships/hyperlink" Target="http://creativecommons.org/licenses/by/4.0/" TargetMode="External"/><Relationship Id="rId4" Type="http://schemas.openxmlformats.org/officeDocument/2006/relationships/hyperlink" Target="http://www.nujms.or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portal.issn.org/resource/ISSN/3106-5430"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portal.issn.org/resource/ISSN/3106-5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CEB1A-E8C5-489F-B203-A21219B5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samir</dc:creator>
  <cp:keywords/>
  <dc:description/>
  <cp:lastModifiedBy>Aziz Abdulla</cp:lastModifiedBy>
  <cp:revision>6</cp:revision>
  <cp:lastPrinted>2025-12-13T14:53:00Z</cp:lastPrinted>
  <dcterms:created xsi:type="dcterms:W3CDTF">2026-01-01T09:43:00Z</dcterms:created>
  <dcterms:modified xsi:type="dcterms:W3CDTF">2026-01-01T19:04:00Z</dcterms:modified>
</cp:coreProperties>
</file>