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2" w:type="dxa"/>
        <w:tblInd w:w="-851" w:type="dxa"/>
        <w:tblLook w:val="04A0" w:firstRow="1" w:lastRow="0" w:firstColumn="1" w:lastColumn="0" w:noHBand="0" w:noVBand="1"/>
      </w:tblPr>
      <w:tblGrid>
        <w:gridCol w:w="3783"/>
        <w:gridCol w:w="2065"/>
        <w:gridCol w:w="4784"/>
      </w:tblGrid>
      <w:tr w:rsidR="00011CD4" w:rsidRPr="00517AF3" w14:paraId="70437B94" w14:textId="305FFC7E" w:rsidTr="0063710A">
        <w:trPr>
          <w:trHeight w:val="3261"/>
        </w:trPr>
        <w:tc>
          <w:tcPr>
            <w:tcW w:w="10632" w:type="dxa"/>
            <w:gridSpan w:val="3"/>
            <w:tcBorders>
              <w:top w:val="nil"/>
              <w:left w:val="nil"/>
              <w:bottom w:val="nil"/>
              <w:right w:val="nil"/>
            </w:tcBorders>
          </w:tcPr>
          <w:p w14:paraId="73998FAC" w14:textId="5D3210F2" w:rsidR="00933F85" w:rsidRDefault="00933F85" w:rsidP="000C4625">
            <w:pPr>
              <w:jc w:val="center"/>
              <w:rPr>
                <w:b/>
                <w:bCs/>
              </w:rPr>
            </w:pPr>
            <w:r w:rsidRPr="00933F85">
              <w:rPr>
                <w:b/>
                <w:bCs/>
              </w:rPr>
              <w:t xml:space="preserve">Evaluation of </w:t>
            </w:r>
            <w:r w:rsidR="009476F8">
              <w:rPr>
                <w:b/>
                <w:bCs/>
              </w:rPr>
              <w:t>I</w:t>
            </w:r>
            <w:r w:rsidRPr="00933F85">
              <w:rPr>
                <w:b/>
                <w:bCs/>
              </w:rPr>
              <w:t xml:space="preserve">mmunological </w:t>
            </w:r>
            <w:r w:rsidR="009476F8">
              <w:rPr>
                <w:b/>
                <w:bCs/>
              </w:rPr>
              <w:t>B</w:t>
            </w:r>
            <w:r w:rsidRPr="00933F85">
              <w:rPr>
                <w:b/>
                <w:bCs/>
              </w:rPr>
              <w:t>iomarkers (</w:t>
            </w:r>
            <w:proofErr w:type="spellStart"/>
            <w:r w:rsidR="009476F8">
              <w:rPr>
                <w:b/>
                <w:bCs/>
              </w:rPr>
              <w:t>T</w:t>
            </w:r>
            <w:r w:rsidRPr="00933F85">
              <w:rPr>
                <w:b/>
                <w:bCs/>
              </w:rPr>
              <w:t>umor</w:t>
            </w:r>
            <w:proofErr w:type="spellEnd"/>
            <w:r w:rsidRPr="00933F85">
              <w:rPr>
                <w:b/>
                <w:bCs/>
              </w:rPr>
              <w:t xml:space="preserve"> </w:t>
            </w:r>
            <w:r w:rsidR="009476F8">
              <w:rPr>
                <w:b/>
                <w:bCs/>
              </w:rPr>
              <w:t>N</w:t>
            </w:r>
            <w:r w:rsidRPr="00933F85">
              <w:rPr>
                <w:b/>
                <w:bCs/>
              </w:rPr>
              <w:t xml:space="preserve">ecrosis </w:t>
            </w:r>
            <w:r w:rsidR="009476F8">
              <w:rPr>
                <w:b/>
                <w:bCs/>
              </w:rPr>
              <w:t>F</w:t>
            </w:r>
            <w:r w:rsidRPr="00933F85">
              <w:rPr>
                <w:b/>
                <w:bCs/>
              </w:rPr>
              <w:t xml:space="preserve">actor-α, Anti-Cyclic </w:t>
            </w:r>
            <w:r w:rsidR="009476F8">
              <w:rPr>
                <w:b/>
                <w:bCs/>
              </w:rPr>
              <w:t>C</w:t>
            </w:r>
            <w:r w:rsidRPr="00933F85">
              <w:rPr>
                <w:b/>
                <w:bCs/>
              </w:rPr>
              <w:t xml:space="preserve">itrullinated </w:t>
            </w:r>
            <w:r w:rsidR="009476F8">
              <w:rPr>
                <w:b/>
                <w:bCs/>
              </w:rPr>
              <w:t>P</w:t>
            </w:r>
            <w:r w:rsidRPr="00933F85">
              <w:rPr>
                <w:b/>
                <w:bCs/>
              </w:rPr>
              <w:t xml:space="preserve">eptide, and </w:t>
            </w:r>
            <w:r w:rsidR="009476F8">
              <w:rPr>
                <w:b/>
                <w:bCs/>
              </w:rPr>
              <w:t>A</w:t>
            </w:r>
            <w:r w:rsidRPr="00933F85">
              <w:rPr>
                <w:b/>
                <w:bCs/>
              </w:rPr>
              <w:t xml:space="preserve">denosine </w:t>
            </w:r>
            <w:r w:rsidR="009476F8">
              <w:rPr>
                <w:b/>
                <w:bCs/>
              </w:rPr>
              <w:t>D</w:t>
            </w:r>
            <w:r w:rsidRPr="00933F85">
              <w:rPr>
                <w:b/>
                <w:bCs/>
              </w:rPr>
              <w:t xml:space="preserve">eaminase) and </w:t>
            </w:r>
            <w:r w:rsidR="009476F8">
              <w:rPr>
                <w:b/>
                <w:bCs/>
              </w:rPr>
              <w:t>T</w:t>
            </w:r>
            <w:r w:rsidRPr="00933F85">
              <w:rPr>
                <w:b/>
                <w:bCs/>
              </w:rPr>
              <w:t>heir</w:t>
            </w:r>
            <w:r w:rsidR="00641CC8">
              <w:rPr>
                <w:b/>
                <w:bCs/>
              </w:rPr>
              <w:t xml:space="preserve"> </w:t>
            </w:r>
            <w:r w:rsidR="009476F8">
              <w:rPr>
                <w:b/>
                <w:bCs/>
              </w:rPr>
              <w:t>A</w:t>
            </w:r>
            <w:r w:rsidRPr="00933F85">
              <w:rPr>
                <w:b/>
                <w:bCs/>
              </w:rPr>
              <w:t xml:space="preserve">ssociation with </w:t>
            </w:r>
            <w:r w:rsidR="009476F8">
              <w:rPr>
                <w:b/>
                <w:bCs/>
              </w:rPr>
              <w:t>D</w:t>
            </w:r>
            <w:r w:rsidRPr="00933F85">
              <w:rPr>
                <w:b/>
                <w:bCs/>
              </w:rPr>
              <w:t xml:space="preserve">isease </w:t>
            </w:r>
            <w:r w:rsidR="009476F8">
              <w:rPr>
                <w:b/>
                <w:bCs/>
              </w:rPr>
              <w:t>A</w:t>
            </w:r>
            <w:r w:rsidRPr="00933F85">
              <w:rPr>
                <w:b/>
                <w:bCs/>
              </w:rPr>
              <w:t xml:space="preserve">ctivity (DAS28) in </w:t>
            </w:r>
            <w:r w:rsidR="009476F8">
              <w:rPr>
                <w:b/>
                <w:bCs/>
              </w:rPr>
              <w:t>I</w:t>
            </w:r>
            <w:r w:rsidRPr="00933F85">
              <w:rPr>
                <w:b/>
                <w:bCs/>
              </w:rPr>
              <w:t>ndividuals with</w:t>
            </w:r>
            <w:r w:rsidR="005B47EF">
              <w:rPr>
                <w:rFonts w:hint="cs"/>
                <w:b/>
                <w:bCs/>
                <w:rtl/>
              </w:rPr>
              <w:t xml:space="preserve"> </w:t>
            </w:r>
            <w:r w:rsidR="009476F8">
              <w:rPr>
                <w:b/>
                <w:bCs/>
              </w:rPr>
              <w:t>R</w:t>
            </w:r>
            <w:r w:rsidRPr="00933F85">
              <w:rPr>
                <w:b/>
                <w:bCs/>
              </w:rPr>
              <w:t>heumatoid arthritis</w:t>
            </w:r>
          </w:p>
          <w:p w14:paraId="4B8A8970" w14:textId="77777777" w:rsidR="00893B38" w:rsidRPr="00933F85" w:rsidRDefault="00893B38" w:rsidP="00893B38">
            <w:pPr>
              <w:rPr>
                <w:b/>
                <w:bCs/>
              </w:rPr>
            </w:pPr>
          </w:p>
          <w:p w14:paraId="4C8F87FB" w14:textId="73341E5C" w:rsidR="00933F85" w:rsidRPr="006D200B" w:rsidRDefault="00933F85" w:rsidP="00933F85">
            <w:pPr>
              <w:jc w:val="center"/>
              <w:rPr>
                <w:sz w:val="24"/>
                <w:szCs w:val="22"/>
                <w:vertAlign w:val="superscript"/>
              </w:rPr>
            </w:pPr>
            <w:r w:rsidRPr="000B2065">
              <w:rPr>
                <w:sz w:val="24"/>
                <w:szCs w:val="22"/>
              </w:rPr>
              <w:t xml:space="preserve">Saja Nameer </w:t>
            </w:r>
            <w:proofErr w:type="spellStart"/>
            <w:r w:rsidRPr="000B2065">
              <w:rPr>
                <w:sz w:val="24"/>
                <w:szCs w:val="22"/>
              </w:rPr>
              <w:t>Qais</w:t>
            </w:r>
            <w:proofErr w:type="spellEnd"/>
            <w:r w:rsidR="003741B7" w:rsidRPr="00AA3C14">
              <w:rPr>
                <w:rFonts w:ascii="Georgia" w:hAnsi="Georgia" w:cs="Times New Roman"/>
                <w:noProof/>
                <w:color w:val="000000"/>
                <w:sz w:val="20"/>
                <w:szCs w:val="20"/>
                <w:lang w:eastAsia="en-GB"/>
              </w:rPr>
              <w:drawing>
                <wp:inline distT="0" distB="0" distL="0" distR="0" wp14:anchorId="1E0DE485" wp14:editId="28283642">
                  <wp:extent cx="108204" cy="108204"/>
                  <wp:effectExtent l="0" t="0" r="6350" b="6350"/>
                  <wp:docPr id="189764469" name="Graphic 18976446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4469" name="Graphic 189764469">
                            <a:hlinkClick r:id="rId7"/>
                          </pic:cNvPr>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0" y="0"/>
                            <a:ext cx="111411" cy="111411"/>
                          </a:xfrm>
                          <a:prstGeom prst="rect">
                            <a:avLst/>
                          </a:prstGeom>
                        </pic:spPr>
                      </pic:pic>
                    </a:graphicData>
                  </a:graphic>
                </wp:inline>
              </w:drawing>
            </w:r>
            <w:r w:rsidR="003741B7" w:rsidRPr="000B2065">
              <w:rPr>
                <w:sz w:val="24"/>
                <w:szCs w:val="22"/>
                <w:vertAlign w:val="superscript"/>
              </w:rPr>
              <w:t>*</w:t>
            </w:r>
            <w:r w:rsidRPr="000B2065">
              <w:rPr>
                <w:sz w:val="24"/>
                <w:szCs w:val="22"/>
                <w:vertAlign w:val="superscript"/>
              </w:rPr>
              <w:t>1</w:t>
            </w:r>
            <w:r w:rsidRPr="000B2065">
              <w:rPr>
                <w:sz w:val="24"/>
                <w:szCs w:val="22"/>
              </w:rPr>
              <w:t xml:space="preserve">, </w:t>
            </w:r>
            <w:proofErr w:type="spellStart"/>
            <w:r w:rsidRPr="000B2065">
              <w:rPr>
                <w:sz w:val="24"/>
                <w:szCs w:val="22"/>
              </w:rPr>
              <w:t>Nihad</w:t>
            </w:r>
            <w:proofErr w:type="spellEnd"/>
            <w:r w:rsidRPr="000B2065">
              <w:rPr>
                <w:sz w:val="24"/>
                <w:szCs w:val="22"/>
              </w:rPr>
              <w:t xml:space="preserve"> </w:t>
            </w:r>
            <w:proofErr w:type="spellStart"/>
            <w:r w:rsidRPr="000B2065">
              <w:rPr>
                <w:sz w:val="24"/>
                <w:szCs w:val="22"/>
              </w:rPr>
              <w:t>Nijres</w:t>
            </w:r>
            <w:proofErr w:type="spellEnd"/>
            <w:r w:rsidRPr="000B2065">
              <w:rPr>
                <w:sz w:val="24"/>
                <w:szCs w:val="22"/>
              </w:rPr>
              <w:t xml:space="preserve"> Helal</w:t>
            </w:r>
            <w:r w:rsidRPr="000B2065">
              <w:rPr>
                <w:sz w:val="24"/>
                <w:szCs w:val="22"/>
                <w:vertAlign w:val="superscript"/>
              </w:rPr>
              <w:t>2</w:t>
            </w:r>
            <w:r w:rsidRPr="000B2065">
              <w:rPr>
                <w:sz w:val="24"/>
                <w:szCs w:val="22"/>
              </w:rPr>
              <w:t xml:space="preserve">, Mohammed </w:t>
            </w:r>
            <w:proofErr w:type="spellStart"/>
            <w:r w:rsidRPr="000B2065">
              <w:rPr>
                <w:sz w:val="24"/>
                <w:szCs w:val="22"/>
              </w:rPr>
              <w:t>Mohsin</w:t>
            </w:r>
            <w:proofErr w:type="spellEnd"/>
            <w:r w:rsidRPr="000B2065">
              <w:rPr>
                <w:sz w:val="24"/>
                <w:szCs w:val="22"/>
              </w:rPr>
              <w:t xml:space="preserve"> Abdul-Aziz</w:t>
            </w:r>
            <w:r w:rsidR="003741B7" w:rsidRPr="00AA3C14">
              <w:rPr>
                <w:rFonts w:ascii="Georgia" w:hAnsi="Georgia" w:cs="Times New Roman"/>
                <w:noProof/>
                <w:color w:val="000000"/>
                <w:sz w:val="20"/>
                <w:szCs w:val="20"/>
                <w:lang w:eastAsia="en-GB"/>
              </w:rPr>
              <w:drawing>
                <wp:inline distT="0" distB="0" distL="0" distR="0" wp14:anchorId="4C64239D" wp14:editId="5394169B">
                  <wp:extent cx="108204" cy="108204"/>
                  <wp:effectExtent l="0" t="0" r="6350" b="6350"/>
                  <wp:docPr id="763058608" name="Graphic 76305860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58608" name="Graphic 763058608">
                            <a:hlinkClick r:id="rId10"/>
                          </pic:cNvPr>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0" y="0"/>
                            <a:ext cx="111411" cy="111411"/>
                          </a:xfrm>
                          <a:prstGeom prst="rect">
                            <a:avLst/>
                          </a:prstGeom>
                        </pic:spPr>
                      </pic:pic>
                    </a:graphicData>
                  </a:graphic>
                </wp:inline>
              </w:drawing>
            </w:r>
            <w:r w:rsidRPr="000B2065">
              <w:rPr>
                <w:sz w:val="24"/>
                <w:szCs w:val="22"/>
                <w:vertAlign w:val="superscript"/>
              </w:rPr>
              <w:t>3</w:t>
            </w:r>
            <w:r w:rsidRPr="000B2065">
              <w:rPr>
                <w:sz w:val="24"/>
                <w:szCs w:val="22"/>
              </w:rPr>
              <w:t>, Mustafa Ahmed Ajeel</w:t>
            </w:r>
            <w:r w:rsidR="003741B7" w:rsidRPr="003741B7">
              <w:rPr>
                <w:rFonts w:hint="cs"/>
                <w:sz w:val="24"/>
                <w:szCs w:val="22"/>
                <w:vertAlign w:val="superscript"/>
                <w:rtl/>
              </w:rPr>
              <w:t>3</w:t>
            </w:r>
          </w:p>
          <w:p w14:paraId="77278ECB" w14:textId="77777777" w:rsidR="00F03769" w:rsidRPr="00641CC8" w:rsidRDefault="00F03769" w:rsidP="00641CC8">
            <w:pPr>
              <w:jc w:val="both"/>
              <w:rPr>
                <w:sz w:val="20"/>
                <w:szCs w:val="18"/>
                <w:lang w:val="en-US"/>
              </w:rPr>
            </w:pPr>
          </w:p>
          <w:p w14:paraId="1BBAB3EB" w14:textId="77777777" w:rsidR="006D200B" w:rsidRPr="006D200B" w:rsidRDefault="006D200B" w:rsidP="006D200B">
            <w:pPr>
              <w:rPr>
                <w:sz w:val="20"/>
                <w:szCs w:val="18"/>
                <w:vertAlign w:val="superscript"/>
              </w:rPr>
            </w:pPr>
            <w:r w:rsidRPr="006D200B">
              <w:rPr>
                <w:sz w:val="20"/>
                <w:szCs w:val="18"/>
                <w:vertAlign w:val="superscript"/>
              </w:rPr>
              <w:t xml:space="preserve">1. </w:t>
            </w:r>
            <w:r w:rsidRPr="006D200B">
              <w:rPr>
                <w:sz w:val="20"/>
                <w:szCs w:val="18"/>
              </w:rPr>
              <w:t>Department of Clinical Biochemistry, College of Medicine, Tikrit University, Iraq.</w:t>
            </w:r>
          </w:p>
          <w:p w14:paraId="6494EDE0" w14:textId="57345B4C" w:rsidR="006D200B" w:rsidRPr="006D200B" w:rsidRDefault="006D200B" w:rsidP="006D200B">
            <w:pPr>
              <w:rPr>
                <w:sz w:val="20"/>
                <w:szCs w:val="18"/>
              </w:rPr>
            </w:pPr>
            <w:r w:rsidRPr="006D200B">
              <w:rPr>
                <w:sz w:val="20"/>
                <w:szCs w:val="18"/>
                <w:vertAlign w:val="superscript"/>
              </w:rPr>
              <w:t xml:space="preserve">2 </w:t>
            </w:r>
            <w:r w:rsidRPr="006D200B">
              <w:rPr>
                <w:sz w:val="20"/>
                <w:szCs w:val="18"/>
              </w:rPr>
              <w:t>Department of Chemical Pathology, College of Medicine, Tikrit University, Iraq.</w:t>
            </w:r>
          </w:p>
          <w:p w14:paraId="40768A5C" w14:textId="77777777" w:rsidR="006D200B" w:rsidRPr="006D200B" w:rsidRDefault="006D200B" w:rsidP="006D200B">
            <w:pPr>
              <w:rPr>
                <w:sz w:val="20"/>
                <w:szCs w:val="18"/>
              </w:rPr>
            </w:pPr>
            <w:r w:rsidRPr="006D200B">
              <w:rPr>
                <w:sz w:val="20"/>
                <w:szCs w:val="18"/>
                <w:vertAlign w:val="superscript"/>
              </w:rPr>
              <w:t xml:space="preserve">3. </w:t>
            </w:r>
            <w:r w:rsidRPr="006D200B">
              <w:rPr>
                <w:sz w:val="20"/>
                <w:szCs w:val="18"/>
              </w:rPr>
              <w:t>Department of Surgery, College of Medicine, Tikrit University, Iraq.</w:t>
            </w:r>
          </w:p>
          <w:p w14:paraId="5A2D5D02" w14:textId="77777777" w:rsidR="006D200B" w:rsidRDefault="006D200B" w:rsidP="00F830C4">
            <w:pPr>
              <w:jc w:val="both"/>
              <w:rPr>
                <w:sz w:val="20"/>
                <w:szCs w:val="18"/>
                <w:vertAlign w:val="superscript"/>
              </w:rPr>
            </w:pPr>
          </w:p>
          <w:p w14:paraId="6D662B70" w14:textId="5FE0BE47" w:rsidR="00743771" w:rsidRPr="00F830C4" w:rsidRDefault="00933F85" w:rsidP="00F830C4">
            <w:pPr>
              <w:jc w:val="both"/>
              <w:rPr>
                <w:rFonts w:eastAsia="Times New Roman"/>
                <w:iCs/>
                <w:color w:val="70AD47" w:themeColor="accent6"/>
                <w:sz w:val="20"/>
                <w:szCs w:val="14"/>
                <w14:textFill>
                  <w14:solidFill>
                    <w14:schemeClr w14:val="accent6">
                      <w14:lumMod w14:val="50000"/>
                      <w14:lumMod w14:val="75000"/>
                      <w14:lumMod w14:val="75000"/>
                    </w14:schemeClr>
                  </w14:solidFill>
                </w14:textFill>
              </w:rPr>
            </w:pPr>
            <w:r w:rsidRPr="00641CC8">
              <w:rPr>
                <w:sz w:val="20"/>
                <w:szCs w:val="18"/>
                <w:vertAlign w:val="superscript"/>
              </w:rPr>
              <w:t>*</w:t>
            </w:r>
            <w:r w:rsidRPr="00641CC8">
              <w:rPr>
                <w:sz w:val="20"/>
                <w:szCs w:val="18"/>
              </w:rPr>
              <w:t xml:space="preserve">Corresponding author: </w:t>
            </w:r>
            <w:hyperlink r:id="rId11" w:history="1">
              <w:r w:rsidR="00641CC8" w:rsidRPr="00AD5744">
                <w:rPr>
                  <w:rFonts w:cstheme="majorBidi"/>
                  <w:color w:val="0563C1"/>
                  <w:sz w:val="20"/>
                  <w:szCs w:val="20"/>
                  <w:u w:val="single"/>
                  <w:lang w:bidi="ar-IQ"/>
                  <w14:cntxtAlts/>
                </w:rPr>
                <w:t>Sn240018me@st.tu.edu.iq</w:t>
              </w:r>
            </w:hyperlink>
          </w:p>
        </w:tc>
      </w:tr>
      <w:tr w:rsidR="00011CD4" w:rsidRPr="00517AF3" w14:paraId="095AA044" w14:textId="7BBFE902" w:rsidTr="0063710A">
        <w:trPr>
          <w:trHeight w:val="135"/>
        </w:trPr>
        <w:tc>
          <w:tcPr>
            <w:tcW w:w="5848" w:type="dxa"/>
            <w:gridSpan w:val="2"/>
            <w:tcBorders>
              <w:top w:val="single" w:sz="12" w:space="0" w:color="auto"/>
              <w:left w:val="nil"/>
              <w:bottom w:val="nil"/>
              <w:right w:val="nil"/>
            </w:tcBorders>
          </w:tcPr>
          <w:p w14:paraId="55B12EBB" w14:textId="77777777" w:rsidR="00011CD4" w:rsidRDefault="00011CD4" w:rsidP="0035148D">
            <w:pPr>
              <w:jc w:val="both"/>
              <w:rPr>
                <w:lang w:bidi="ar-IQ"/>
              </w:rPr>
            </w:pPr>
          </w:p>
        </w:tc>
        <w:tc>
          <w:tcPr>
            <w:tcW w:w="4784" w:type="dxa"/>
            <w:tcBorders>
              <w:top w:val="single" w:sz="12" w:space="0" w:color="auto"/>
              <w:left w:val="nil"/>
              <w:bottom w:val="nil"/>
              <w:right w:val="nil"/>
            </w:tcBorders>
          </w:tcPr>
          <w:p w14:paraId="0C5AEB1D" w14:textId="77777777" w:rsidR="00011CD4" w:rsidRDefault="00011CD4" w:rsidP="0035148D">
            <w:pPr>
              <w:jc w:val="both"/>
              <w:rPr>
                <w:lang w:bidi="ar-IQ"/>
              </w:rPr>
            </w:pPr>
          </w:p>
        </w:tc>
      </w:tr>
      <w:tr w:rsidR="00011CD4" w:rsidRPr="00517AF3" w14:paraId="5922AF01" w14:textId="16FA74E7" w:rsidTr="0063710A">
        <w:trPr>
          <w:trHeight w:val="2410"/>
        </w:trPr>
        <w:tc>
          <w:tcPr>
            <w:tcW w:w="3783" w:type="dxa"/>
            <w:tcBorders>
              <w:top w:val="nil"/>
              <w:left w:val="nil"/>
              <w:bottom w:val="nil"/>
            </w:tcBorders>
          </w:tcPr>
          <w:p w14:paraId="260D716A" w14:textId="77777777" w:rsidR="00991538" w:rsidRDefault="00991538" w:rsidP="00991538">
            <w:pPr>
              <w:pStyle w:val="NoSpacing"/>
              <w:spacing w:after="0"/>
              <w:rPr>
                <w:b/>
                <w:bCs/>
              </w:rPr>
            </w:pPr>
          </w:p>
          <w:p w14:paraId="0612D0C9" w14:textId="77777777" w:rsidR="0063710A" w:rsidRPr="004141E7" w:rsidRDefault="0063710A" w:rsidP="00991538">
            <w:pPr>
              <w:pStyle w:val="NoSpacing"/>
              <w:spacing w:after="0"/>
              <w:rPr>
                <w:b/>
                <w:bCs/>
              </w:rPr>
            </w:pPr>
          </w:p>
          <w:p w14:paraId="35708478" w14:textId="48FDB6D6" w:rsidR="00B941F4" w:rsidRPr="009C305D" w:rsidRDefault="00C94B06" w:rsidP="00B941F4">
            <w:pPr>
              <w:pStyle w:val="ABSTRACTBODY"/>
              <w:rPr>
                <w:b/>
                <w:bCs/>
                <w:i w:val="0"/>
                <w:iCs/>
                <w:color w:val="538135" w:themeColor="accent6" w:themeShade="BF"/>
                <w:szCs w:val="20"/>
                <w14:textFill>
                  <w14:solidFill>
                    <w14:schemeClr w14:val="accent6">
                      <w14:lumMod w14:val="75000"/>
                      <w14:lumMod w14:val="75000"/>
                    </w14:schemeClr>
                  </w14:solidFill>
                </w14:textFill>
              </w:rPr>
            </w:pPr>
            <w:r w:rsidRPr="009C305D">
              <w:rPr>
                <w:b/>
                <w:bCs/>
                <w:iCs/>
                <w:color w:val="538135" w:themeColor="accent6" w:themeShade="BF"/>
                <w:szCs w:val="20"/>
                <w14:textFill>
                  <w14:solidFill>
                    <w14:schemeClr w14:val="accent6">
                      <w14:lumMod w14:val="75000"/>
                      <w14:lumMod w14:val="75000"/>
                    </w14:schemeClr>
                  </w14:solidFill>
                </w14:textFill>
              </w:rPr>
              <w:t>Article information</w:t>
            </w:r>
            <w:r w:rsidR="00B941F4" w:rsidRPr="009C305D">
              <w:rPr>
                <w:b/>
                <w:bCs/>
                <w:iCs/>
                <w:color w:val="538135" w:themeColor="accent6" w:themeShade="BF"/>
                <w:szCs w:val="20"/>
                <w14:textFill>
                  <w14:solidFill>
                    <w14:schemeClr w14:val="accent6">
                      <w14:lumMod w14:val="75000"/>
                      <w14:lumMod w14:val="75000"/>
                    </w14:schemeClr>
                  </w14:solidFill>
                </w14:textFill>
              </w:rPr>
              <w:t>:</w:t>
            </w:r>
          </w:p>
          <w:p w14:paraId="3854D4BF" w14:textId="3F1D282B" w:rsidR="00B941F4" w:rsidRDefault="00B941F4" w:rsidP="0091532B">
            <w:pPr>
              <w:pStyle w:val="Articalhistory"/>
              <w:spacing w:line="240" w:lineRule="auto"/>
              <w:rPr>
                <w:i w:val="0"/>
                <w:iCs/>
                <w:sz w:val="20"/>
              </w:rPr>
            </w:pPr>
            <w:r w:rsidRPr="001C5CE3">
              <w:rPr>
                <w:i w:val="0"/>
                <w:iCs/>
                <w:sz w:val="20"/>
                <w:szCs w:val="20"/>
              </w:rPr>
              <w:t>R</w:t>
            </w:r>
            <w:r w:rsidR="004141E7" w:rsidRPr="001C5CE3">
              <w:rPr>
                <w:i w:val="0"/>
                <w:iCs/>
                <w:sz w:val="20"/>
                <w:szCs w:val="20"/>
              </w:rPr>
              <w:t>eceived</w:t>
            </w:r>
            <w:r w:rsidR="00F14948">
              <w:rPr>
                <w:i w:val="0"/>
                <w:iCs/>
                <w:sz w:val="20"/>
                <w:szCs w:val="20"/>
              </w:rPr>
              <w:t xml:space="preserve"> </w:t>
            </w:r>
            <w:r w:rsidR="0063710A">
              <w:rPr>
                <w:i w:val="0"/>
                <w:iCs/>
                <w:sz w:val="20"/>
                <w:szCs w:val="20"/>
              </w:rPr>
              <w:t xml:space="preserve">                        </w:t>
            </w:r>
            <w:r w:rsidR="00F14948">
              <w:rPr>
                <w:i w:val="0"/>
                <w:iCs/>
                <w:sz w:val="20"/>
              </w:rPr>
              <w:t>19</w:t>
            </w:r>
            <w:r w:rsidR="00F14948" w:rsidRPr="00F14948">
              <w:rPr>
                <w:i w:val="0"/>
                <w:iCs/>
                <w:sz w:val="20"/>
              </w:rPr>
              <w:t xml:space="preserve"> May, 2025</w:t>
            </w:r>
          </w:p>
          <w:p w14:paraId="2C91390A" w14:textId="51B32E97" w:rsidR="00DA4386" w:rsidRPr="00DA4386" w:rsidRDefault="00DA4386" w:rsidP="0091532B">
            <w:pPr>
              <w:pStyle w:val="Articalhistory"/>
              <w:spacing w:line="240" w:lineRule="auto"/>
              <w:rPr>
                <w:i w:val="0"/>
                <w:iCs/>
                <w:sz w:val="20"/>
              </w:rPr>
            </w:pPr>
            <w:r w:rsidRPr="00DA4386">
              <w:rPr>
                <w:i w:val="0"/>
                <w:iCs/>
                <w:sz w:val="20"/>
              </w:rPr>
              <w:t>Received in revised form 26 Jun, 2025</w:t>
            </w:r>
          </w:p>
          <w:p w14:paraId="28186D4C" w14:textId="495D5C22" w:rsidR="00B941F4" w:rsidRDefault="00B941F4" w:rsidP="0091532B">
            <w:pPr>
              <w:pStyle w:val="Articalhistory"/>
              <w:spacing w:line="240" w:lineRule="auto"/>
              <w:rPr>
                <w:i w:val="0"/>
                <w:iCs/>
                <w:sz w:val="20"/>
              </w:rPr>
            </w:pPr>
            <w:r w:rsidRPr="001C5CE3">
              <w:rPr>
                <w:i w:val="0"/>
                <w:iCs/>
                <w:sz w:val="20"/>
                <w:szCs w:val="20"/>
              </w:rPr>
              <w:t>A</w:t>
            </w:r>
            <w:r w:rsidR="004141E7" w:rsidRPr="001C5CE3">
              <w:rPr>
                <w:i w:val="0"/>
                <w:iCs/>
                <w:sz w:val="20"/>
                <w:szCs w:val="20"/>
              </w:rPr>
              <w:t>ccepted</w:t>
            </w:r>
            <w:r w:rsidR="00F14948">
              <w:rPr>
                <w:i w:val="0"/>
                <w:iCs/>
                <w:sz w:val="20"/>
                <w:szCs w:val="20"/>
              </w:rPr>
              <w:t xml:space="preserve"> </w:t>
            </w:r>
            <w:r w:rsidR="0063710A">
              <w:rPr>
                <w:i w:val="0"/>
                <w:iCs/>
                <w:sz w:val="20"/>
                <w:szCs w:val="20"/>
              </w:rPr>
              <w:t xml:space="preserve">                         </w:t>
            </w:r>
            <w:r w:rsidR="00F14948">
              <w:rPr>
                <w:i w:val="0"/>
                <w:iCs/>
                <w:sz w:val="20"/>
              </w:rPr>
              <w:t>02</w:t>
            </w:r>
            <w:r w:rsidR="00F14948" w:rsidRPr="00F14948">
              <w:rPr>
                <w:i w:val="0"/>
                <w:iCs/>
                <w:sz w:val="20"/>
              </w:rPr>
              <w:t xml:space="preserve"> Ju</w:t>
            </w:r>
            <w:r w:rsidR="00F14948">
              <w:rPr>
                <w:i w:val="0"/>
                <w:iCs/>
                <w:sz w:val="20"/>
              </w:rPr>
              <w:t>ly</w:t>
            </w:r>
            <w:r w:rsidR="00F14948" w:rsidRPr="00F14948">
              <w:rPr>
                <w:i w:val="0"/>
                <w:iCs/>
                <w:sz w:val="20"/>
              </w:rPr>
              <w:t>, 2025</w:t>
            </w:r>
          </w:p>
          <w:p w14:paraId="5D8E8276" w14:textId="3197BEEA" w:rsidR="00DA4386" w:rsidRPr="00DA4386" w:rsidRDefault="00DA4386" w:rsidP="0091532B">
            <w:pPr>
              <w:pStyle w:val="Articalhistory"/>
              <w:spacing w:line="240" w:lineRule="auto"/>
              <w:rPr>
                <w:i w:val="0"/>
                <w:iCs/>
                <w:sz w:val="20"/>
              </w:rPr>
            </w:pPr>
            <w:r w:rsidRPr="00DA4386">
              <w:rPr>
                <w:i w:val="0"/>
                <w:iCs/>
                <w:sz w:val="20"/>
              </w:rPr>
              <w:t xml:space="preserve">Final Proofreading </w:t>
            </w:r>
            <w:r w:rsidR="0063710A">
              <w:rPr>
                <w:i w:val="0"/>
                <w:iCs/>
                <w:sz w:val="20"/>
              </w:rPr>
              <w:t xml:space="preserve">          </w:t>
            </w:r>
            <w:r w:rsidRPr="00DA4386">
              <w:rPr>
                <w:i w:val="0"/>
                <w:iCs/>
                <w:sz w:val="20"/>
                <w:szCs w:val="20"/>
              </w:rPr>
              <w:t>2</w:t>
            </w:r>
            <w:r w:rsidRPr="00DA4386">
              <w:rPr>
                <w:rFonts w:hint="cs"/>
                <w:sz w:val="20"/>
                <w:szCs w:val="20"/>
                <w:rtl/>
              </w:rPr>
              <w:t>4</w:t>
            </w:r>
            <w:r w:rsidRPr="00DA4386">
              <w:rPr>
                <w:i w:val="0"/>
                <w:iCs/>
                <w:sz w:val="20"/>
              </w:rPr>
              <w:t xml:space="preserve"> </w:t>
            </w:r>
            <w:r w:rsidR="00500FCE" w:rsidRPr="00500FCE">
              <w:rPr>
                <w:i w:val="0"/>
                <w:iCs/>
                <w:sz w:val="20"/>
              </w:rPr>
              <w:t>July</w:t>
            </w:r>
            <w:r w:rsidRPr="00DA4386">
              <w:rPr>
                <w:i w:val="0"/>
                <w:iCs/>
                <w:sz w:val="20"/>
              </w:rPr>
              <w:t>, 2025</w:t>
            </w:r>
          </w:p>
          <w:p w14:paraId="3FEDA230" w14:textId="26FC7B91" w:rsidR="00C94B06" w:rsidRDefault="00B941F4" w:rsidP="0091532B">
            <w:pPr>
              <w:pStyle w:val="Articalhistory"/>
              <w:spacing w:line="240" w:lineRule="auto"/>
              <w:rPr>
                <w:i w:val="0"/>
                <w:iCs/>
                <w:sz w:val="20"/>
              </w:rPr>
            </w:pPr>
            <w:r w:rsidRPr="001C5CE3">
              <w:rPr>
                <w:i w:val="0"/>
                <w:iCs/>
                <w:sz w:val="20"/>
                <w:szCs w:val="20"/>
              </w:rPr>
              <w:t>P</w:t>
            </w:r>
            <w:r w:rsidR="004141E7" w:rsidRPr="001C5CE3">
              <w:rPr>
                <w:i w:val="0"/>
                <w:iCs/>
                <w:sz w:val="20"/>
                <w:szCs w:val="20"/>
              </w:rPr>
              <w:t>ublished</w:t>
            </w:r>
            <w:r w:rsidR="0063710A">
              <w:rPr>
                <w:i w:val="0"/>
                <w:iCs/>
                <w:sz w:val="20"/>
                <w:szCs w:val="20"/>
              </w:rPr>
              <w:t xml:space="preserve">                        </w:t>
            </w:r>
            <w:r w:rsidR="00C94B06" w:rsidRPr="001C5CE3">
              <w:rPr>
                <w:i w:val="0"/>
                <w:iCs/>
                <w:sz w:val="20"/>
                <w:szCs w:val="20"/>
              </w:rPr>
              <w:t xml:space="preserve"> </w:t>
            </w:r>
            <w:r w:rsidR="00F14948" w:rsidRPr="00F14948">
              <w:rPr>
                <w:i w:val="0"/>
                <w:iCs/>
                <w:sz w:val="20"/>
              </w:rPr>
              <w:t>30 July, 2025</w:t>
            </w:r>
          </w:p>
          <w:p w14:paraId="2F3A9C46" w14:textId="77777777" w:rsidR="0063710A" w:rsidRDefault="0063710A" w:rsidP="00991538">
            <w:pPr>
              <w:pStyle w:val="Articalhistory"/>
              <w:rPr>
                <w:i w:val="0"/>
                <w:iCs/>
                <w:sz w:val="20"/>
                <w:szCs w:val="20"/>
              </w:rPr>
            </w:pPr>
          </w:p>
          <w:p w14:paraId="67E23429" w14:textId="77777777" w:rsidR="0063710A" w:rsidRDefault="0063710A" w:rsidP="00991538">
            <w:pPr>
              <w:pStyle w:val="Articalhistory"/>
              <w:rPr>
                <w:i w:val="0"/>
                <w:iCs/>
                <w:sz w:val="20"/>
                <w:szCs w:val="20"/>
              </w:rPr>
            </w:pPr>
          </w:p>
          <w:p w14:paraId="250EDAEE" w14:textId="77777777" w:rsidR="0063710A" w:rsidRPr="00991538" w:rsidRDefault="0063710A" w:rsidP="00991538">
            <w:pPr>
              <w:pStyle w:val="Articalhistory"/>
              <w:rPr>
                <w:i w:val="0"/>
                <w:iCs/>
                <w:sz w:val="20"/>
                <w:szCs w:val="20"/>
              </w:rPr>
            </w:pPr>
          </w:p>
          <w:p w14:paraId="073BBD8F" w14:textId="77777777" w:rsidR="001807E5" w:rsidRPr="009C305D" w:rsidRDefault="001807E5" w:rsidP="001807E5">
            <w:pPr>
              <w:pStyle w:val="ABSTRACTBODY"/>
              <w:rPr>
                <w:color w:val="538135" w:themeColor="accent6" w:themeShade="BF"/>
                <w14:textFill>
                  <w14:solidFill>
                    <w14:schemeClr w14:val="accent6">
                      <w14:lumMod w14:val="75000"/>
                      <w14:lumMod w14:val="75000"/>
                    </w14:schemeClr>
                  </w14:solidFill>
                </w14:textFill>
              </w:rPr>
            </w:pPr>
            <w:r w:rsidRPr="009C305D">
              <w:rPr>
                <w:b/>
                <w:bCs/>
                <w:iCs/>
                <w:color w:val="538135" w:themeColor="accent6" w:themeShade="BF"/>
                <w14:textFill>
                  <w14:solidFill>
                    <w14:schemeClr w14:val="accent6">
                      <w14:lumMod w14:val="75000"/>
                      <w14:lumMod w14:val="75000"/>
                    </w14:schemeClr>
                  </w14:solidFill>
                </w14:textFill>
              </w:rPr>
              <w:t>DOI Online:</w:t>
            </w:r>
          </w:p>
          <w:p w14:paraId="536E756A" w14:textId="6C983C71" w:rsidR="00C935D8" w:rsidRPr="0063710A" w:rsidRDefault="00F6220E" w:rsidP="0063710A">
            <w:pPr>
              <w:pStyle w:val="ABSTRACTBODY"/>
              <w:rPr>
                <w:i w:val="0"/>
                <w:color w:val="0563C1"/>
                <w:szCs w:val="20"/>
                <w:u w:val="single"/>
                <w14:textFill>
                  <w14:solidFill>
                    <w14:srgbClr w14:val="0563C1">
                      <w14:lumMod w14:val="75000"/>
                    </w14:srgbClr>
                  </w14:solidFill>
                </w14:textFill>
                <w14:cntxtAlts w14:val="0"/>
              </w:rPr>
            </w:pPr>
            <w:hyperlink r:id="rId12" w:history="1">
              <w:r w:rsidR="001807E5" w:rsidRPr="00AD5744">
                <w:rPr>
                  <w:i w:val="0"/>
                  <w:color w:val="0563C1"/>
                  <w:szCs w:val="20"/>
                  <w:u w:val="single"/>
                  <w14:textFill>
                    <w14:solidFill>
                      <w14:srgbClr w14:val="0563C1">
                        <w14:lumMod w14:val="75000"/>
                      </w14:srgbClr>
                    </w14:solidFill>
                  </w14:textFill>
                </w:rPr>
                <w:t>http://doi.org/</w:t>
              </w:r>
              <w:r w:rsidR="00991538" w:rsidRPr="00AD5744">
                <w:rPr>
                  <w:i w:val="0"/>
                  <w:color w:val="0563C1"/>
                  <w:szCs w:val="20"/>
                  <w:u w:val="single"/>
                  <w14:textFill>
                    <w14:solidFill>
                      <w14:srgbClr w14:val="0563C1">
                        <w14:lumMod w14:val="75000"/>
                      </w14:srgbClr>
                    </w14:solidFill>
                  </w14:textFill>
                </w:rPr>
                <w:t>10.64554/nujms.2025.1.1.4</w:t>
              </w:r>
            </w:hyperlink>
          </w:p>
          <w:p w14:paraId="247064FC" w14:textId="77777777" w:rsidR="0063710A" w:rsidRDefault="0063710A" w:rsidP="00591F14">
            <w:pPr>
              <w:pStyle w:val="ABSTRACTBODY"/>
              <w:rPr>
                <w:szCs w:val="20"/>
              </w:rPr>
            </w:pPr>
          </w:p>
          <w:p w14:paraId="16E8D618" w14:textId="77777777" w:rsidR="0063710A" w:rsidRPr="001C5CE3" w:rsidRDefault="0063710A" w:rsidP="00591F14">
            <w:pPr>
              <w:pStyle w:val="ABSTRACTBODY"/>
              <w:rPr>
                <w:szCs w:val="20"/>
              </w:rPr>
            </w:pPr>
          </w:p>
          <w:p w14:paraId="1D80D50B" w14:textId="77777777" w:rsidR="00C935D8" w:rsidRPr="009C305D" w:rsidRDefault="00C935D8" w:rsidP="00C935D8">
            <w:pPr>
              <w:pStyle w:val="Articalhistory"/>
              <w:rPr>
                <w:b/>
                <w:bCs/>
                <w:color w:val="538135" w:themeColor="accent6" w:themeShade="BF"/>
                <w:sz w:val="20"/>
                <w:szCs w:val="20"/>
                <w14:textFill>
                  <w14:solidFill>
                    <w14:schemeClr w14:val="accent6">
                      <w14:lumMod w14:val="75000"/>
                      <w14:lumMod w14:val="75000"/>
                    </w14:schemeClr>
                  </w14:solidFill>
                </w14:textFill>
              </w:rPr>
            </w:pPr>
            <w:r w:rsidRPr="009C305D">
              <w:rPr>
                <w:b/>
                <w:bCs/>
                <w:color w:val="538135" w:themeColor="accent6" w:themeShade="BF"/>
                <w:sz w:val="20"/>
                <w:szCs w:val="20"/>
                <w14:textFill>
                  <w14:solidFill>
                    <w14:schemeClr w14:val="accent6">
                      <w14:lumMod w14:val="75000"/>
                      <w14:lumMod w14:val="75000"/>
                    </w14:schemeClr>
                  </w14:solidFill>
                </w14:textFill>
              </w:rPr>
              <w:t>Keywords:</w:t>
            </w:r>
          </w:p>
          <w:p w14:paraId="7B6F9439" w14:textId="719704FA" w:rsidR="00C935D8" w:rsidRPr="001C5CE3" w:rsidRDefault="00C935D8" w:rsidP="0091532B">
            <w:pPr>
              <w:pStyle w:val="Articalhistory"/>
              <w:spacing w:line="240" w:lineRule="auto"/>
              <w:rPr>
                <w:i w:val="0"/>
                <w:iCs/>
                <w:sz w:val="20"/>
                <w:szCs w:val="20"/>
              </w:rPr>
            </w:pPr>
            <w:r w:rsidRPr="001C5CE3">
              <w:rPr>
                <w:i w:val="0"/>
                <w:iCs/>
                <w:sz w:val="20"/>
                <w:szCs w:val="20"/>
              </w:rPr>
              <w:t xml:space="preserve">Anti-CCP; </w:t>
            </w:r>
            <w:r w:rsidR="0063710A">
              <w:rPr>
                <w:i w:val="0"/>
                <w:iCs/>
                <w:sz w:val="20"/>
                <w:szCs w:val="20"/>
              </w:rPr>
              <w:t xml:space="preserve"> </w:t>
            </w:r>
            <w:r w:rsidRPr="001C5CE3">
              <w:rPr>
                <w:i w:val="0"/>
                <w:iCs/>
                <w:sz w:val="20"/>
                <w:szCs w:val="20"/>
              </w:rPr>
              <w:t xml:space="preserve">BMI; </w:t>
            </w:r>
            <w:r w:rsidR="0063710A">
              <w:rPr>
                <w:i w:val="0"/>
                <w:iCs/>
                <w:sz w:val="20"/>
                <w:szCs w:val="20"/>
              </w:rPr>
              <w:t xml:space="preserve"> </w:t>
            </w:r>
            <w:r w:rsidRPr="001C5CE3">
              <w:rPr>
                <w:i w:val="0"/>
                <w:iCs/>
                <w:sz w:val="20"/>
                <w:szCs w:val="20"/>
              </w:rPr>
              <w:t xml:space="preserve">DAS28; </w:t>
            </w:r>
            <w:r w:rsidR="0063710A">
              <w:rPr>
                <w:i w:val="0"/>
                <w:iCs/>
                <w:sz w:val="20"/>
                <w:szCs w:val="20"/>
              </w:rPr>
              <w:t xml:space="preserve"> </w:t>
            </w:r>
            <w:r w:rsidRPr="001C5CE3">
              <w:rPr>
                <w:i w:val="0"/>
                <w:iCs/>
                <w:sz w:val="20"/>
                <w:szCs w:val="20"/>
              </w:rPr>
              <w:t xml:space="preserve">Rheumatoid </w:t>
            </w:r>
            <w:r w:rsidR="005C2AEC">
              <w:rPr>
                <w:i w:val="0"/>
                <w:iCs/>
                <w:sz w:val="20"/>
                <w:szCs w:val="20"/>
                <w:lang w:val="en-US"/>
              </w:rPr>
              <w:t>A</w:t>
            </w:r>
            <w:proofErr w:type="spellStart"/>
            <w:r w:rsidRPr="001C5CE3">
              <w:rPr>
                <w:i w:val="0"/>
                <w:iCs/>
                <w:sz w:val="20"/>
                <w:szCs w:val="20"/>
              </w:rPr>
              <w:t>rthritis</w:t>
            </w:r>
            <w:proofErr w:type="spellEnd"/>
            <w:r w:rsidRPr="001C5CE3">
              <w:rPr>
                <w:i w:val="0"/>
                <w:iCs/>
                <w:sz w:val="20"/>
                <w:szCs w:val="20"/>
              </w:rPr>
              <w:t xml:space="preserve">; </w:t>
            </w:r>
            <w:r w:rsidR="0063710A">
              <w:rPr>
                <w:i w:val="0"/>
                <w:iCs/>
                <w:sz w:val="20"/>
                <w:szCs w:val="20"/>
              </w:rPr>
              <w:t xml:space="preserve"> </w:t>
            </w:r>
            <w:r w:rsidRPr="001C5CE3">
              <w:rPr>
                <w:i w:val="0"/>
                <w:iCs/>
                <w:sz w:val="20"/>
                <w:szCs w:val="20"/>
              </w:rPr>
              <w:t>TNF</w:t>
            </w:r>
          </w:p>
          <w:p w14:paraId="3817DDD8" w14:textId="77777777" w:rsidR="00C935D8" w:rsidRDefault="00C935D8" w:rsidP="00591F14">
            <w:pPr>
              <w:pStyle w:val="ABSTRACTBODY"/>
              <w:rPr>
                <w:b/>
                <w:bCs/>
              </w:rPr>
            </w:pPr>
          </w:p>
          <w:p w14:paraId="33F20345" w14:textId="77777777" w:rsidR="0063710A" w:rsidRDefault="0063710A" w:rsidP="00591F14">
            <w:pPr>
              <w:pStyle w:val="ABSTRACTBODY"/>
              <w:rPr>
                <w:b/>
                <w:bCs/>
              </w:rPr>
            </w:pPr>
          </w:p>
          <w:p w14:paraId="3C540A07" w14:textId="77777777" w:rsidR="003741B7" w:rsidRPr="003741B7" w:rsidRDefault="003741B7" w:rsidP="003741B7">
            <w:pPr>
              <w:rPr>
                <w:rtl/>
                <w:lang w:bidi="ar-IQ"/>
              </w:rPr>
            </w:pPr>
          </w:p>
          <w:p w14:paraId="18CC256F" w14:textId="77777777" w:rsidR="0063710A" w:rsidRPr="00231AF0" w:rsidRDefault="0063710A" w:rsidP="0063710A">
            <w:pPr>
              <w:pStyle w:val="Articalhistory"/>
              <w:rPr>
                <w:b/>
                <w:bCs/>
                <w:sz w:val="20"/>
                <w:szCs w:val="20"/>
              </w:rPr>
            </w:pPr>
            <w:r w:rsidRPr="00EE0CE1">
              <w:rPr>
                <w:b/>
                <w:bCs/>
                <w:i w:val="0"/>
                <w:iCs/>
                <w:color w:val="538135" w:themeColor="accent6" w:themeShade="BF"/>
                <w:sz w:val="16"/>
                <w:szCs w:val="16"/>
                <w:lang w:bidi="ar-SA"/>
              </w:rPr>
              <w:t>© THIS IS AN OPEN ACCESS ARTICLE UNDER THE CC BY LICENSE.</w:t>
            </w:r>
            <w:r w:rsidRPr="00EE0CE1">
              <w:rPr>
                <w:b/>
                <w:bCs/>
                <w:i w:val="0"/>
                <w:iCs/>
                <w:color w:val="538135" w:themeColor="accent6" w:themeShade="BF"/>
                <w:sz w:val="16"/>
                <w:szCs w:val="16"/>
              </w:rPr>
              <w:t xml:space="preserve"> </w:t>
            </w:r>
            <w:hyperlink r:id="rId13" w:history="1">
              <w:r w:rsidRPr="00B27C7C">
                <w:rPr>
                  <w:rStyle w:val="Hyperlink"/>
                  <w:b/>
                  <w:bCs/>
                  <w:i w:val="0"/>
                  <w:iCs/>
                  <w:color w:val="034990" w:themeColor="hyperlink" w:themeShade="BF"/>
                  <w:sz w:val="16"/>
                  <w:szCs w:val="16"/>
                  <w14:textFill>
                    <w14:solidFill>
                      <w14:schemeClr w14:val="hlink">
                        <w14:lumMod w14:val="75000"/>
                        <w14:lumMod w14:val="75000"/>
                      </w14:schemeClr>
                    </w14:solidFill>
                  </w14:textFill>
                </w:rPr>
                <w:t>http://creativecommons.org/licenses/by/4.0</w:t>
              </w:r>
              <w:r w:rsidRPr="00231AF0">
                <w:rPr>
                  <w:rStyle w:val="Hyperlink"/>
                  <w:b/>
                  <w:bCs/>
                  <w:color w:val="034990" w:themeColor="hyperlink" w:themeShade="BF"/>
                  <w:sz w:val="20"/>
                  <w:szCs w:val="20"/>
                  <w14:textFill>
                    <w14:solidFill>
                      <w14:schemeClr w14:val="hlink">
                        <w14:lumMod w14:val="75000"/>
                        <w14:lumMod w14:val="75000"/>
                      </w14:schemeClr>
                    </w14:solidFill>
                  </w14:textFill>
                </w:rPr>
                <w:t>/</w:t>
              </w:r>
            </w:hyperlink>
          </w:p>
          <w:p w14:paraId="5DD532D8" w14:textId="77777777" w:rsidR="003741B7" w:rsidRPr="003741B7" w:rsidRDefault="003741B7" w:rsidP="003741B7">
            <w:pPr>
              <w:rPr>
                <w:rtl/>
                <w:lang w:bidi="ar-IQ"/>
              </w:rPr>
            </w:pPr>
            <w:bookmarkStart w:id="0" w:name="_GoBack"/>
            <w:bookmarkEnd w:id="0"/>
          </w:p>
          <w:p w14:paraId="10C84683" w14:textId="77777777" w:rsidR="003741B7" w:rsidRPr="003741B7" w:rsidRDefault="003741B7" w:rsidP="003741B7">
            <w:pPr>
              <w:rPr>
                <w:rtl/>
                <w:lang w:bidi="ar-IQ"/>
              </w:rPr>
            </w:pPr>
          </w:p>
          <w:p w14:paraId="07CBD8A9" w14:textId="77777777" w:rsidR="003741B7" w:rsidRDefault="003741B7" w:rsidP="003741B7">
            <w:pPr>
              <w:rPr>
                <w:rFonts w:cstheme="majorBidi"/>
                <w:b/>
                <w:bCs/>
                <w:i/>
                <w:color w:val="000000"/>
                <w:sz w:val="20"/>
                <w:szCs w:val="48"/>
                <w:rtl/>
                <w:lang w:bidi="ar-IQ"/>
                <w14:textFill>
                  <w14:solidFill>
                    <w14:srgbClr w14:val="000000">
                      <w14:lumMod w14:val="75000"/>
                    </w14:srgbClr>
                  </w14:solidFill>
                </w14:textFill>
                <w14:cntxtAlts/>
              </w:rPr>
            </w:pPr>
          </w:p>
          <w:p w14:paraId="5FEE9F22" w14:textId="77777777" w:rsidR="003741B7" w:rsidRPr="003741B7" w:rsidRDefault="003741B7" w:rsidP="003741B7">
            <w:pPr>
              <w:rPr>
                <w:rtl/>
                <w:lang w:bidi="ar-IQ"/>
              </w:rPr>
            </w:pPr>
          </w:p>
          <w:p w14:paraId="60D528B8" w14:textId="77777777" w:rsidR="003741B7" w:rsidRDefault="003741B7" w:rsidP="003741B7">
            <w:pPr>
              <w:rPr>
                <w:lang w:bidi="ar-IQ"/>
              </w:rPr>
            </w:pPr>
          </w:p>
          <w:p w14:paraId="7577A81A" w14:textId="2D0CBA61" w:rsidR="0063710A" w:rsidRPr="003741B7" w:rsidRDefault="0063710A" w:rsidP="003741B7">
            <w:pPr>
              <w:rPr>
                <w:lang w:bidi="ar-IQ"/>
              </w:rPr>
            </w:pPr>
          </w:p>
        </w:tc>
        <w:tc>
          <w:tcPr>
            <w:tcW w:w="6849" w:type="dxa"/>
            <w:gridSpan w:val="2"/>
            <w:tcBorders>
              <w:top w:val="nil"/>
              <w:bottom w:val="nil"/>
              <w:right w:val="nil"/>
            </w:tcBorders>
          </w:tcPr>
          <w:p w14:paraId="2CD9D820" w14:textId="72600C79" w:rsidR="00A10FD3" w:rsidRPr="00F03769" w:rsidRDefault="00F81D62" w:rsidP="00A72CDE">
            <w:pPr>
              <w:pStyle w:val="NoSpacing"/>
              <w:rPr>
                <w:b/>
                <w:bCs/>
              </w:rPr>
            </w:pPr>
            <w:r>
              <w:t xml:space="preserve">        </w:t>
            </w:r>
            <w:r w:rsidR="003032EE" w:rsidRPr="00F03769">
              <w:rPr>
                <w:b/>
                <w:bCs/>
              </w:rPr>
              <w:t>ABSTRACT</w:t>
            </w:r>
          </w:p>
          <w:p w14:paraId="220114D6" w14:textId="145D7900" w:rsidR="00D54500" w:rsidRPr="0063710A" w:rsidRDefault="00933F85" w:rsidP="00A72CDE">
            <w:pPr>
              <w:pStyle w:val="Articalhistory"/>
              <w:spacing w:line="240" w:lineRule="auto"/>
              <w:jc w:val="both"/>
              <w:rPr>
                <w:i w:val="0"/>
                <w:iCs/>
                <w:sz w:val="20"/>
                <w:szCs w:val="20"/>
              </w:rPr>
            </w:pPr>
            <w:r w:rsidRPr="0063710A">
              <w:rPr>
                <w:b/>
                <w:bCs/>
                <w:i w:val="0"/>
                <w:iCs/>
                <w:sz w:val="20"/>
                <w:szCs w:val="20"/>
              </w:rPr>
              <w:t>Background:</w:t>
            </w:r>
            <w:r w:rsidRPr="0063710A">
              <w:rPr>
                <w:i w:val="0"/>
                <w:iCs/>
                <w:sz w:val="20"/>
                <w:szCs w:val="20"/>
              </w:rPr>
              <w:t xml:space="preserve"> Rheumatoid arthritis (RA) is a chronic, systemic autoimmune disease characterized by persistent synovial inflammation and</w:t>
            </w:r>
            <w:r w:rsidR="002129BE" w:rsidRPr="0063710A">
              <w:rPr>
                <w:rFonts w:hint="cs"/>
                <w:i w:val="0"/>
                <w:iCs/>
                <w:sz w:val="20"/>
                <w:szCs w:val="20"/>
                <w:rtl/>
              </w:rPr>
              <w:t xml:space="preserve"> </w:t>
            </w:r>
            <w:r w:rsidRPr="0063710A">
              <w:rPr>
                <w:i w:val="0"/>
                <w:iCs/>
                <w:sz w:val="20"/>
                <w:szCs w:val="20"/>
              </w:rPr>
              <w:t xml:space="preserve">progressive joint destruction. This study investigates the association between </w:t>
            </w:r>
            <w:proofErr w:type="spellStart"/>
            <w:r w:rsidRPr="0063710A">
              <w:rPr>
                <w:i w:val="0"/>
                <w:iCs/>
                <w:sz w:val="20"/>
                <w:szCs w:val="20"/>
              </w:rPr>
              <w:t>tumor</w:t>
            </w:r>
            <w:proofErr w:type="spellEnd"/>
            <w:r w:rsidRPr="0063710A">
              <w:rPr>
                <w:i w:val="0"/>
                <w:iCs/>
                <w:sz w:val="20"/>
                <w:szCs w:val="20"/>
              </w:rPr>
              <w:t xml:space="preserve"> necrosis factor-alpha (TNF-α), anti-cyclic citrullinated peptide antibodies (anti-CCP),</w:t>
            </w:r>
            <w:r w:rsidR="00647D76" w:rsidRPr="0063710A">
              <w:rPr>
                <w:i w:val="0"/>
                <w:iCs/>
                <w:sz w:val="20"/>
                <w:szCs w:val="20"/>
              </w:rPr>
              <w:t xml:space="preserve"> </w:t>
            </w:r>
            <w:r w:rsidRPr="0063710A">
              <w:rPr>
                <w:i w:val="0"/>
                <w:iCs/>
                <w:sz w:val="20"/>
                <w:szCs w:val="20"/>
              </w:rPr>
              <w:t>adenosine deaminase (ADA), and the Disease Activity Score-28 (DAS28) in RA patients. Understanding these biomarker correlations provides valuable insights into disease activity assessment and facilitates personalized therapeutic strategies.</w:t>
            </w:r>
          </w:p>
          <w:p w14:paraId="39C9661B" w14:textId="77777777" w:rsidR="00933F85" w:rsidRPr="0063710A" w:rsidRDefault="00933F85" w:rsidP="00A72CDE">
            <w:pPr>
              <w:pStyle w:val="Articalhistory"/>
              <w:spacing w:line="240" w:lineRule="auto"/>
              <w:jc w:val="both"/>
              <w:rPr>
                <w:i w:val="0"/>
                <w:iCs/>
                <w:sz w:val="20"/>
                <w:szCs w:val="40"/>
              </w:rPr>
            </w:pPr>
            <w:r w:rsidRPr="0063710A">
              <w:rPr>
                <w:b/>
                <w:i w:val="0"/>
                <w:iCs/>
                <w:sz w:val="20"/>
                <w:szCs w:val="40"/>
              </w:rPr>
              <w:t>Objectives:</w:t>
            </w:r>
            <w:r w:rsidRPr="0063710A">
              <w:rPr>
                <w:i w:val="0"/>
                <w:iCs/>
                <w:sz w:val="20"/>
                <w:szCs w:val="40"/>
              </w:rPr>
              <w:t xml:space="preserve"> The study aims to assess the relationships between TNF-α, Anti-CCP, ADA and</w:t>
            </w:r>
          </w:p>
          <w:p w14:paraId="19C4AF5A" w14:textId="0756C64B" w:rsidR="00933F85" w:rsidRPr="0063710A" w:rsidRDefault="00933F85" w:rsidP="00A72CDE">
            <w:pPr>
              <w:pStyle w:val="Articalhistory"/>
              <w:spacing w:line="240" w:lineRule="auto"/>
              <w:jc w:val="both"/>
              <w:rPr>
                <w:i w:val="0"/>
                <w:iCs/>
                <w:sz w:val="20"/>
                <w:szCs w:val="40"/>
              </w:rPr>
            </w:pPr>
            <w:r w:rsidRPr="0063710A">
              <w:rPr>
                <w:i w:val="0"/>
                <w:iCs/>
                <w:sz w:val="20"/>
                <w:szCs w:val="40"/>
              </w:rPr>
              <w:t>DAS28 in patients with rheumatoid arthritis in Kirkuk, Iraq.</w:t>
            </w:r>
          </w:p>
          <w:p w14:paraId="2987D934" w14:textId="204EC359" w:rsidR="00933F85" w:rsidRPr="0063710A" w:rsidRDefault="00933F85" w:rsidP="00A72CDE">
            <w:pPr>
              <w:pStyle w:val="Articalhistory"/>
              <w:spacing w:line="240" w:lineRule="auto"/>
              <w:jc w:val="both"/>
              <w:rPr>
                <w:i w:val="0"/>
                <w:iCs/>
                <w:sz w:val="20"/>
                <w:szCs w:val="40"/>
              </w:rPr>
            </w:pPr>
            <w:r w:rsidRPr="0063710A">
              <w:rPr>
                <w:b/>
                <w:i w:val="0"/>
                <w:iCs/>
                <w:sz w:val="20"/>
                <w:szCs w:val="40"/>
              </w:rPr>
              <w:t>Methods:</w:t>
            </w:r>
            <w:r w:rsidRPr="0063710A">
              <w:rPr>
                <w:i w:val="0"/>
                <w:iCs/>
                <w:sz w:val="20"/>
                <w:szCs w:val="40"/>
              </w:rPr>
              <w:t xml:space="preserve"> This case-control study comprised 135 subjects (divided into three groups: 45 newly diagnosed not previously treated patients with rheumatoid arthritis, 45 patients undergoing treatments for 3 months and 45 healthy rheumatoid factor (RF)–negative controls from the general population. Biomarker levels—TNF-α, anti-CCP, and ADA—were determined using a sandwich enzyme-linked immunosorbent assay (ELISA) with monoclonal antibodies.</w:t>
            </w:r>
          </w:p>
          <w:p w14:paraId="17094D60" w14:textId="693B3AE1" w:rsidR="0004510C" w:rsidRPr="0063710A" w:rsidRDefault="0004510C" w:rsidP="00A72CDE">
            <w:pPr>
              <w:pStyle w:val="Articalhistory"/>
              <w:spacing w:line="240" w:lineRule="auto"/>
              <w:jc w:val="both"/>
              <w:rPr>
                <w:b/>
                <w:i w:val="0"/>
                <w:iCs/>
                <w:sz w:val="20"/>
                <w:szCs w:val="40"/>
              </w:rPr>
            </w:pPr>
            <w:r w:rsidRPr="0063710A">
              <w:rPr>
                <w:b/>
                <w:i w:val="0"/>
                <w:iCs/>
                <w:sz w:val="20"/>
                <w:szCs w:val="40"/>
              </w:rPr>
              <w:t xml:space="preserve">Results: </w:t>
            </w:r>
            <w:r w:rsidRPr="0063710A">
              <w:rPr>
                <w:bCs/>
                <w:i w:val="0"/>
                <w:iCs/>
                <w:sz w:val="20"/>
                <w:szCs w:val="40"/>
              </w:rPr>
              <w:t>In the comparison of patients with rheumatoid arthritis (RA) with healthy controls, significant elevations in means (before, after, control) of TNF-α (849.0, 120.4, 64.3 ng/ml), anti-CCP (531.2, 273.4, 91.2 ng/ml), and ADA (14.9, 1.6, 1.3 ng/ml) were observed. Conversely, significant decreases in these levels were seen after the therapy. A significant association was noted between TNF-α and DAS28 before medication treatment, but anti-CCP exhibited a correlation post-therapy. ADA demonstrated a robust correlation. Evidence indicates that TNF-α and anti-CCP are significant predictive markers for monitoring disease activity in rheumatoid arthritis (RA).</w:t>
            </w:r>
          </w:p>
          <w:p w14:paraId="216392B1" w14:textId="614B729F" w:rsidR="00991538" w:rsidRPr="00991538" w:rsidRDefault="00933F85" w:rsidP="00991538">
            <w:pPr>
              <w:pStyle w:val="Articalhistory"/>
              <w:spacing w:line="240" w:lineRule="auto"/>
              <w:jc w:val="both"/>
              <w:rPr>
                <w:i w:val="0"/>
                <w:iCs/>
              </w:rPr>
            </w:pPr>
            <w:r w:rsidRPr="0063710A">
              <w:rPr>
                <w:b/>
                <w:i w:val="0"/>
                <w:iCs/>
                <w:sz w:val="20"/>
                <w:szCs w:val="40"/>
              </w:rPr>
              <w:t>Conclusions:</w:t>
            </w:r>
            <w:r w:rsidRPr="0063710A">
              <w:rPr>
                <w:i w:val="0"/>
                <w:iCs/>
                <w:sz w:val="20"/>
                <w:szCs w:val="40"/>
              </w:rPr>
              <w:t xml:space="preserve"> TNF-α and anti-CCP are reliable biomarkers for monitoring treatment response and disease activity in rheumatoid arthritis. Significant post-treatment reductions in these markers’ indicators indicate successful immunosuppression, while ADA normalization implies reinstated immunological </w:t>
            </w:r>
            <w:r w:rsidRPr="0063710A">
              <w:rPr>
                <w:i w:val="0"/>
                <w:iCs/>
                <w:sz w:val="20"/>
                <w:szCs w:val="20"/>
              </w:rPr>
              <w:t>modulation. The diminished link between TNF-α and DAS28 following therapy underscores effective cytokine regulation, while the post-treatment relationship of anti-CCP with DAS28 reinforces its significance in long-term illness monitoring. ADA demonstrated restricted efficacy in evaluating joint-specific activity. Moreover, increased BMI correlated with worse inflammatory and hematologic profiles, underscoring the impact of obesity on RA pathogenesis. These insights offer crucial region-specific information</w:t>
            </w:r>
            <w:r w:rsidR="00C326D9" w:rsidRPr="0063710A">
              <w:rPr>
                <w:i w:val="0"/>
                <w:iCs/>
                <w:sz w:val="20"/>
                <w:szCs w:val="20"/>
              </w:rPr>
              <w:t xml:space="preserve"> </w:t>
            </w:r>
            <w:r w:rsidRPr="0063710A">
              <w:rPr>
                <w:i w:val="0"/>
                <w:iCs/>
                <w:sz w:val="20"/>
                <w:szCs w:val="20"/>
              </w:rPr>
              <w:t>for enhancing RA management techniques</w:t>
            </w:r>
            <w:r w:rsidRPr="00933F85">
              <w:rPr>
                <w:i w:val="0"/>
                <w:iCs/>
              </w:rPr>
              <w:t>.</w:t>
            </w:r>
          </w:p>
        </w:tc>
      </w:tr>
    </w:tbl>
    <w:p w14:paraId="0E204767" w14:textId="77777777" w:rsidR="0063710A" w:rsidRDefault="0063710A" w:rsidP="00F14948">
      <w:pPr>
        <w:pStyle w:val="NoSpacing"/>
        <w:pBdr>
          <w:top w:val="single" w:sz="12" w:space="31" w:color="auto"/>
        </w:pBdr>
        <w:rPr>
          <w:b/>
          <w:bCs/>
          <w:lang w:bidi="ar-IQ"/>
        </w:rPr>
      </w:pPr>
    </w:p>
    <w:p w14:paraId="5DFE478E" w14:textId="71636B82" w:rsidR="00D05CD7" w:rsidRDefault="00F75110" w:rsidP="00F14948">
      <w:pPr>
        <w:pStyle w:val="NoSpacing"/>
        <w:pBdr>
          <w:top w:val="single" w:sz="12" w:space="31" w:color="auto"/>
        </w:pBdr>
        <w:rPr>
          <w:b/>
          <w:bCs/>
          <w:lang w:bidi="ar-IQ"/>
        </w:rPr>
      </w:pPr>
      <w:r w:rsidRPr="00F75110">
        <w:rPr>
          <w:b/>
          <w:bCs/>
          <w:lang w:bidi="ar-IQ"/>
        </w:rPr>
        <w:lastRenderedPageBreak/>
        <w:t>Introduction</w:t>
      </w:r>
    </w:p>
    <w:p w14:paraId="7C558BFC" w14:textId="6F9467A3" w:rsidR="00B9166F" w:rsidRPr="00B9166F" w:rsidRDefault="00B9166F" w:rsidP="005B47EF">
      <w:pPr>
        <w:pStyle w:val="Articalhistory"/>
        <w:spacing w:line="240" w:lineRule="auto"/>
        <w:jc w:val="both"/>
        <w:rPr>
          <w:i w:val="0"/>
          <w:iCs/>
          <w:vertAlign w:val="superscript"/>
        </w:rPr>
      </w:pPr>
      <w:r w:rsidRPr="00B9166F">
        <w:rPr>
          <w:i w:val="0"/>
          <w:iCs/>
        </w:rPr>
        <w:t xml:space="preserve">         The autoimmune disorder known as rheumatoid arthritis (RA) is a persistent and systemic condition that predominantly affects the joints and causes severe inflammation and destruction among those joints</w:t>
      </w:r>
      <w:r w:rsidR="00A72CDE">
        <w:rPr>
          <w:i w:val="0"/>
          <w:iCs/>
        </w:rPr>
        <w:t xml:space="preserve"> </w:t>
      </w:r>
      <w:r w:rsidR="00A72CDE" w:rsidRPr="00A72CDE">
        <w:rPr>
          <w:i w:val="0"/>
          <w:iCs/>
        </w:rPr>
        <w:t>[</w:t>
      </w:r>
      <w:r w:rsidR="00A72CDE">
        <w:rPr>
          <w:i w:val="0"/>
          <w:iCs/>
        </w:rPr>
        <w:t>1</w:t>
      </w:r>
      <w:r w:rsidR="00A72CDE" w:rsidRPr="00A72CDE">
        <w:rPr>
          <w:i w:val="0"/>
          <w:iCs/>
        </w:rPr>
        <w:t>]</w:t>
      </w:r>
      <w:r w:rsidR="00A72CDE">
        <w:rPr>
          <w:i w:val="0"/>
          <w:iCs/>
        </w:rPr>
        <w:t xml:space="preserve">. </w:t>
      </w:r>
      <w:r w:rsidRPr="00B9166F">
        <w:rPr>
          <w:i w:val="0"/>
          <w:iCs/>
        </w:rPr>
        <w:t>The condition is marked by bilateral joint inflammation, autoantibody synthesis, and systemic repercussions</w:t>
      </w:r>
      <w:r w:rsidR="00A72CDE">
        <w:rPr>
          <w:i w:val="0"/>
          <w:iCs/>
        </w:rPr>
        <w:t xml:space="preserve"> </w:t>
      </w:r>
      <w:bookmarkStart w:id="1" w:name="_Hlk205125314"/>
      <w:r w:rsidR="00A72CDE" w:rsidRPr="00A72CDE">
        <w:rPr>
          <w:i w:val="0"/>
          <w:iCs/>
        </w:rPr>
        <w:t>[</w:t>
      </w:r>
      <w:r w:rsidR="00A72CDE">
        <w:rPr>
          <w:i w:val="0"/>
          <w:iCs/>
        </w:rPr>
        <w:t>2</w:t>
      </w:r>
      <w:r w:rsidR="00A72CDE" w:rsidRPr="00A72CDE">
        <w:rPr>
          <w:i w:val="0"/>
          <w:iCs/>
        </w:rPr>
        <w:t>]</w:t>
      </w:r>
      <w:bookmarkEnd w:id="1"/>
      <w:r w:rsidR="00A72CDE">
        <w:rPr>
          <w:i w:val="0"/>
          <w:iCs/>
        </w:rPr>
        <w:t>.</w:t>
      </w:r>
      <w:r w:rsidRPr="00B9166F">
        <w:rPr>
          <w:i w:val="0"/>
          <w:iCs/>
        </w:rPr>
        <w:t xml:space="preserve"> Rheumatoid arthritis (RA) impacts around 1% of the adult population worldwide, with considerable differences in frequency and severity across various geographical locations</w:t>
      </w:r>
      <w:r w:rsidR="00A72CDE">
        <w:rPr>
          <w:i w:val="0"/>
          <w:iCs/>
        </w:rPr>
        <w:t xml:space="preserve"> </w:t>
      </w:r>
      <w:r w:rsidR="00A72CDE" w:rsidRPr="00A72CDE">
        <w:rPr>
          <w:i w:val="0"/>
          <w:iCs/>
        </w:rPr>
        <w:t>[</w:t>
      </w:r>
      <w:r w:rsidR="00A72CDE">
        <w:rPr>
          <w:i w:val="0"/>
          <w:iCs/>
        </w:rPr>
        <w:t>3</w:t>
      </w:r>
      <w:r w:rsidR="00A72CDE" w:rsidRPr="00A72CDE">
        <w:rPr>
          <w:i w:val="0"/>
          <w:iCs/>
        </w:rPr>
        <w:t>]</w:t>
      </w:r>
      <w:r w:rsidR="00A72CDE">
        <w:rPr>
          <w:i w:val="0"/>
          <w:iCs/>
        </w:rPr>
        <w:t>.</w:t>
      </w:r>
    </w:p>
    <w:p w14:paraId="78E83230" w14:textId="4AFC01C8" w:rsidR="00B9166F" w:rsidRPr="00B9166F" w:rsidRDefault="00B9166F" w:rsidP="005B47EF">
      <w:pPr>
        <w:pStyle w:val="Articalhistory"/>
        <w:spacing w:line="240" w:lineRule="auto"/>
        <w:jc w:val="both"/>
        <w:rPr>
          <w:i w:val="0"/>
          <w:iCs/>
        </w:rPr>
      </w:pPr>
      <w:r w:rsidRPr="00B9166F">
        <w:rPr>
          <w:i w:val="0"/>
          <w:iCs/>
        </w:rPr>
        <w:t xml:space="preserve"> </w:t>
      </w:r>
      <w:r>
        <w:rPr>
          <w:i w:val="0"/>
          <w:iCs/>
          <w:rtl/>
        </w:rPr>
        <w:tab/>
      </w:r>
      <w:r w:rsidRPr="00B9166F">
        <w:rPr>
          <w:i w:val="0"/>
          <w:iCs/>
        </w:rPr>
        <w:t xml:space="preserve">The pathogenesis of rheumatoid arthritis (RA) encompasses intricate interactions among genetic susceptibility, environmental factors, and aberrant immunological responses, particularly involving cytokines such as </w:t>
      </w:r>
      <w:proofErr w:type="spellStart"/>
      <w:r w:rsidRPr="00B9166F">
        <w:rPr>
          <w:i w:val="0"/>
          <w:iCs/>
        </w:rPr>
        <w:t>tumor</w:t>
      </w:r>
      <w:proofErr w:type="spellEnd"/>
      <w:r w:rsidRPr="00B9166F">
        <w:rPr>
          <w:i w:val="0"/>
          <w:iCs/>
        </w:rPr>
        <w:t xml:space="preserve"> necrosis factor-alpha (TNF-α) and autoantibodies like anti-cyclic citrullinated peptide (anti-CCP). Adenosine Deaminase (ADA), an enzyme integral to purine metabolism, has been associated with rheumatoid arthritis (RA) because of its involvement in immunological regulation and inflammation</w:t>
      </w:r>
      <w:r w:rsidR="00A72CDE">
        <w:rPr>
          <w:rFonts w:hint="cs"/>
          <w:i w:val="0"/>
          <w:iCs/>
          <w:rtl/>
        </w:rPr>
        <w:t xml:space="preserve"> </w:t>
      </w:r>
      <w:r w:rsidR="00A72CDE" w:rsidRPr="00A72CDE">
        <w:rPr>
          <w:i w:val="0"/>
          <w:iCs/>
        </w:rPr>
        <w:t>[</w:t>
      </w:r>
      <w:r w:rsidR="00A72CDE">
        <w:rPr>
          <w:i w:val="0"/>
          <w:iCs/>
        </w:rPr>
        <w:t>4</w:t>
      </w:r>
      <w:r w:rsidR="00A72CDE" w:rsidRPr="00A72CDE">
        <w:rPr>
          <w:i w:val="0"/>
          <w:iCs/>
        </w:rPr>
        <w:t>]</w:t>
      </w:r>
      <w:r w:rsidR="00A92CFB" w:rsidRPr="00A92CFB">
        <w:rPr>
          <w:i w:val="0"/>
          <w:iCs/>
        </w:rPr>
        <w:t xml:space="preserve"> </w:t>
      </w:r>
      <w:r w:rsidR="00A92CFB" w:rsidRPr="00A72CDE">
        <w:rPr>
          <w:i w:val="0"/>
          <w:iCs/>
        </w:rPr>
        <w:t>[</w:t>
      </w:r>
      <w:r w:rsidR="00A92CFB">
        <w:rPr>
          <w:i w:val="0"/>
          <w:iCs/>
        </w:rPr>
        <w:t>5</w:t>
      </w:r>
      <w:r w:rsidR="00A92CFB" w:rsidRPr="00A72CDE">
        <w:rPr>
          <w:i w:val="0"/>
          <w:iCs/>
        </w:rPr>
        <w:t>]</w:t>
      </w:r>
      <w:r w:rsidR="00A72CDE" w:rsidRPr="00A72CDE">
        <w:rPr>
          <w:i w:val="0"/>
          <w:iCs/>
        </w:rPr>
        <w:t xml:space="preserve"> [</w:t>
      </w:r>
      <w:r w:rsidR="00A72CDE" w:rsidRPr="00A72CDE">
        <w:rPr>
          <w:rFonts w:hint="cs"/>
          <w:sz w:val="12"/>
          <w:szCs w:val="24"/>
          <w:rtl/>
        </w:rPr>
        <w:t>6</w:t>
      </w:r>
      <w:r w:rsidR="00A72CDE" w:rsidRPr="00A72CDE">
        <w:rPr>
          <w:i w:val="0"/>
          <w:iCs/>
        </w:rPr>
        <w:t>]</w:t>
      </w:r>
      <w:r w:rsidR="00A72CDE">
        <w:rPr>
          <w:i w:val="0"/>
          <w:iCs/>
        </w:rPr>
        <w:t>.</w:t>
      </w:r>
      <w:r w:rsidRPr="00B9166F">
        <w:rPr>
          <w:i w:val="0"/>
          <w:iCs/>
        </w:rPr>
        <w:t xml:space="preserve"> Precise biomarkers for illness surveillance are essential for therapeutic oversight, especially with non-steroidal anti-inflammatory drugs (NSAIDs)</w:t>
      </w:r>
      <w:r w:rsidR="00A72CDE">
        <w:rPr>
          <w:i w:val="0"/>
          <w:iCs/>
        </w:rPr>
        <w:t xml:space="preserve"> </w:t>
      </w:r>
      <w:r w:rsidR="00A72CDE" w:rsidRPr="00A72CDE">
        <w:rPr>
          <w:i w:val="0"/>
          <w:iCs/>
        </w:rPr>
        <w:t>[</w:t>
      </w:r>
      <w:r w:rsidR="00A72CDE">
        <w:rPr>
          <w:i w:val="0"/>
          <w:iCs/>
        </w:rPr>
        <w:t>7</w:t>
      </w:r>
      <w:r w:rsidR="00A72CDE" w:rsidRPr="00A72CDE">
        <w:rPr>
          <w:i w:val="0"/>
          <w:iCs/>
        </w:rPr>
        <w:t>]</w:t>
      </w:r>
      <w:r w:rsidR="00A72CDE">
        <w:rPr>
          <w:i w:val="0"/>
          <w:iCs/>
        </w:rPr>
        <w:t>.</w:t>
      </w:r>
    </w:p>
    <w:p w14:paraId="6FFCBC98" w14:textId="4DDC155E" w:rsidR="00D03FD0" w:rsidRDefault="00B9166F" w:rsidP="00A72CDE">
      <w:pPr>
        <w:pStyle w:val="Articalhistory"/>
        <w:spacing w:line="240" w:lineRule="auto"/>
        <w:ind w:firstLine="720"/>
        <w:jc w:val="both"/>
        <w:rPr>
          <w:i w:val="0"/>
          <w:iCs/>
        </w:rPr>
      </w:pPr>
      <w:r w:rsidRPr="00B9166F">
        <w:rPr>
          <w:i w:val="0"/>
          <w:iCs/>
        </w:rPr>
        <w:t xml:space="preserve">The current study evaluates the clinical relevance and association of TNF-α, Anti-CCP, and ADA with Disease Activity Score 28 (DAS28) in rheumatoid arthritis patients from Kirkuk, Iraq, offering region-specific insights that may impact clinical practice by These biomarkers help clinicians more accurately assess disease activity, especially when used alongside DAS28, allowing tailored treatment decisions. </w:t>
      </w:r>
    </w:p>
    <w:p w14:paraId="58966636" w14:textId="77777777" w:rsidR="00A72CDE" w:rsidRPr="00B9166F" w:rsidRDefault="00A72CDE" w:rsidP="00A72CDE">
      <w:pPr>
        <w:pStyle w:val="Articalhistory"/>
        <w:spacing w:line="240" w:lineRule="auto"/>
        <w:ind w:firstLine="720"/>
        <w:jc w:val="both"/>
        <w:rPr>
          <w:i w:val="0"/>
          <w:iCs/>
        </w:rPr>
      </w:pPr>
    </w:p>
    <w:p w14:paraId="2AF7DF63" w14:textId="48346714" w:rsidR="00F10E0E" w:rsidRPr="00717BCE" w:rsidRDefault="00E10703" w:rsidP="00F14948">
      <w:pPr>
        <w:pStyle w:val="NoSpacing"/>
        <w:rPr>
          <w:b/>
          <w:bCs/>
        </w:rPr>
      </w:pPr>
      <w:r>
        <w:rPr>
          <w:b/>
          <w:bCs/>
        </w:rPr>
        <w:t>Methods</w:t>
      </w:r>
    </w:p>
    <w:p w14:paraId="0572797A" w14:textId="2AE0FD10" w:rsidR="00B9166F" w:rsidRPr="00B9166F" w:rsidRDefault="00B9166F" w:rsidP="005B47EF">
      <w:pPr>
        <w:pStyle w:val="Articalhistory"/>
        <w:spacing w:line="240" w:lineRule="auto"/>
        <w:ind w:firstLine="720"/>
        <w:jc w:val="both"/>
        <w:rPr>
          <w:i w:val="0"/>
          <w:iCs/>
        </w:rPr>
      </w:pPr>
      <w:r w:rsidRPr="00B9166F">
        <w:rPr>
          <w:i w:val="0"/>
          <w:iCs/>
        </w:rPr>
        <w:t>This hospital-based case-control research included 90 rheumatoid arthritis patients and 45 matched (age and sex) healthy controls with negative RF and clinical examinations, performed from December 2024 to April 2025. Participants were classified into three groups: untreated RA (n=45), treated RA (n=45) for 3 months with NSAIDs, and control (n=45). Serum levels of TNF-α, anti-CCP, and ADA were measured by enzyme-linked immunosorbent assay (ELISA) sandwich method with monoclonal antibody (BT Lab/China)</w:t>
      </w:r>
      <w:r w:rsidR="00A72CDE">
        <w:rPr>
          <w:i w:val="0"/>
          <w:iCs/>
        </w:rPr>
        <w:t xml:space="preserve"> </w:t>
      </w:r>
      <w:r w:rsidR="00A72CDE" w:rsidRPr="00A72CDE">
        <w:rPr>
          <w:i w:val="0"/>
          <w:iCs/>
        </w:rPr>
        <w:t>[</w:t>
      </w:r>
      <w:r w:rsidR="00A72CDE">
        <w:rPr>
          <w:i w:val="0"/>
          <w:iCs/>
        </w:rPr>
        <w:t>8</w:t>
      </w:r>
      <w:r w:rsidR="00A72CDE" w:rsidRPr="00A72CDE">
        <w:rPr>
          <w:i w:val="0"/>
          <w:iCs/>
        </w:rPr>
        <w:t>]</w:t>
      </w:r>
      <w:r w:rsidR="00A72CDE">
        <w:rPr>
          <w:i w:val="0"/>
          <w:iCs/>
        </w:rPr>
        <w:t>.</w:t>
      </w:r>
    </w:p>
    <w:p w14:paraId="13AAFD9D" w14:textId="71251D80" w:rsidR="00B9166F" w:rsidRDefault="00B9166F" w:rsidP="005B47EF">
      <w:pPr>
        <w:pStyle w:val="Articalhistory"/>
        <w:spacing w:line="240" w:lineRule="auto"/>
        <w:ind w:firstLine="426"/>
        <w:jc w:val="both"/>
        <w:rPr>
          <w:i w:val="0"/>
          <w:iCs/>
        </w:rPr>
      </w:pPr>
      <w:r w:rsidRPr="00B9166F">
        <w:rPr>
          <w:i w:val="0"/>
          <w:iCs/>
        </w:rPr>
        <w:t>Assessment of disease activity was performed using the Disease Activity Score 28 (DAS28), a validated composite index commonly applied in clinical and research settings to evaluate rheumatoid arthritis (RA) disease activity. The DAS28 incorporates clinical and laboratory parameters, including</w:t>
      </w:r>
      <w:r w:rsidR="002129BE">
        <w:rPr>
          <w:i w:val="0"/>
          <w:iCs/>
        </w:rPr>
        <w:t>:</w:t>
      </w:r>
    </w:p>
    <w:p w14:paraId="3AE10732" w14:textId="77777777" w:rsidR="00A72CDE" w:rsidRPr="00B9166F" w:rsidRDefault="00A72CDE" w:rsidP="00A72CDE">
      <w:pPr>
        <w:pStyle w:val="Articalhistory"/>
        <w:spacing w:line="240" w:lineRule="auto"/>
        <w:jc w:val="both"/>
        <w:rPr>
          <w:i w:val="0"/>
          <w:iCs/>
        </w:rPr>
      </w:pPr>
    </w:p>
    <w:p w14:paraId="21D01DAB" w14:textId="77777777" w:rsidR="00B9166F" w:rsidRPr="00B9166F" w:rsidRDefault="00B9166F" w:rsidP="00A72CDE">
      <w:pPr>
        <w:pStyle w:val="Articalhistory"/>
        <w:spacing w:line="240" w:lineRule="auto"/>
        <w:ind w:firstLine="426"/>
        <w:jc w:val="both"/>
        <w:rPr>
          <w:i w:val="0"/>
          <w:iCs/>
        </w:rPr>
      </w:pPr>
      <w:r w:rsidRPr="00B9166F">
        <w:rPr>
          <w:i w:val="0"/>
          <w:iCs/>
        </w:rPr>
        <w:t>•</w:t>
      </w:r>
      <w:r w:rsidRPr="00B9166F">
        <w:rPr>
          <w:i w:val="0"/>
          <w:iCs/>
        </w:rPr>
        <w:tab/>
        <w:t>The number of tender joints (TJC, out of 28 joints),</w:t>
      </w:r>
    </w:p>
    <w:p w14:paraId="480EF459" w14:textId="77777777" w:rsidR="00B9166F" w:rsidRPr="00B9166F" w:rsidRDefault="00B9166F" w:rsidP="00A72CDE">
      <w:pPr>
        <w:pStyle w:val="Articalhistory"/>
        <w:spacing w:line="240" w:lineRule="auto"/>
        <w:ind w:firstLine="426"/>
        <w:jc w:val="both"/>
        <w:rPr>
          <w:i w:val="0"/>
          <w:iCs/>
        </w:rPr>
      </w:pPr>
      <w:r w:rsidRPr="00B9166F">
        <w:rPr>
          <w:i w:val="0"/>
          <w:iCs/>
        </w:rPr>
        <w:t>•</w:t>
      </w:r>
      <w:r w:rsidRPr="00B9166F">
        <w:rPr>
          <w:i w:val="0"/>
          <w:iCs/>
        </w:rPr>
        <w:tab/>
        <w:t>The number of swollen joints (SJC, out of 28 joints),</w:t>
      </w:r>
    </w:p>
    <w:p w14:paraId="00C0E243" w14:textId="77777777" w:rsidR="00B9166F" w:rsidRPr="00B9166F" w:rsidRDefault="00B9166F" w:rsidP="00A72CDE">
      <w:pPr>
        <w:pStyle w:val="Articalhistory"/>
        <w:spacing w:line="240" w:lineRule="auto"/>
        <w:ind w:firstLine="426"/>
        <w:jc w:val="both"/>
        <w:rPr>
          <w:i w:val="0"/>
          <w:iCs/>
        </w:rPr>
      </w:pPr>
      <w:r w:rsidRPr="00B9166F">
        <w:rPr>
          <w:i w:val="0"/>
          <w:iCs/>
        </w:rPr>
        <w:t>•</w:t>
      </w:r>
      <w:r w:rsidRPr="00B9166F">
        <w:rPr>
          <w:i w:val="0"/>
          <w:iCs/>
        </w:rPr>
        <w:tab/>
        <w:t>The erythrocyte sedimentation rate (ESR, mm/hr),</w:t>
      </w:r>
    </w:p>
    <w:p w14:paraId="02B4D559" w14:textId="7F654CD9" w:rsidR="00B9166F" w:rsidRPr="00B9166F" w:rsidRDefault="00B9166F" w:rsidP="00A72CDE">
      <w:pPr>
        <w:pStyle w:val="Articalhistory"/>
        <w:spacing w:line="240" w:lineRule="auto"/>
        <w:ind w:firstLine="426"/>
        <w:jc w:val="both"/>
        <w:rPr>
          <w:i w:val="0"/>
          <w:iCs/>
        </w:rPr>
      </w:pPr>
      <w:r w:rsidRPr="00B9166F">
        <w:rPr>
          <w:i w:val="0"/>
          <w:iCs/>
        </w:rPr>
        <w:t>•</w:t>
      </w:r>
      <w:r w:rsidRPr="00B9166F">
        <w:rPr>
          <w:i w:val="0"/>
          <w:iCs/>
        </w:rPr>
        <w:tab/>
        <w:t xml:space="preserve">And the patient's global health assessment (GH), measured on a 10 cm visual analogue </w:t>
      </w:r>
      <w:r w:rsidR="00A92CFB">
        <w:rPr>
          <w:i w:val="0"/>
          <w:iCs/>
        </w:rPr>
        <w:t xml:space="preserve">     </w:t>
      </w:r>
      <w:r w:rsidRPr="00B9166F">
        <w:rPr>
          <w:i w:val="0"/>
          <w:iCs/>
        </w:rPr>
        <w:t>scale (VAS), with 0 representing “very good” and 10 representing “very poor” perceived health status.</w:t>
      </w:r>
    </w:p>
    <w:p w14:paraId="6E6962DD" w14:textId="77777777" w:rsidR="00B9166F" w:rsidRPr="00B9166F" w:rsidRDefault="00B9166F" w:rsidP="00A72CDE">
      <w:pPr>
        <w:pStyle w:val="Articalhistory"/>
        <w:spacing w:line="240" w:lineRule="auto"/>
        <w:ind w:firstLine="426"/>
        <w:jc w:val="both"/>
        <w:rPr>
          <w:i w:val="0"/>
          <w:iCs/>
        </w:rPr>
      </w:pPr>
      <w:r w:rsidRPr="00B9166F">
        <w:rPr>
          <w:i w:val="0"/>
          <w:iCs/>
        </w:rPr>
        <w:t>All patients diagnosed by a physician with an exclusion of kidney disease, liver disease, pregnancy, osteomalacia, osteoporosis, autoimmune diseases other than rheumatoid arthritis, or chemotherapy.</w:t>
      </w:r>
    </w:p>
    <w:p w14:paraId="5C02B214" w14:textId="77777777" w:rsidR="00B9166F" w:rsidRPr="00B9166F" w:rsidRDefault="00B9166F" w:rsidP="00A72CDE">
      <w:pPr>
        <w:pStyle w:val="Articalhistory"/>
        <w:spacing w:line="240" w:lineRule="auto"/>
        <w:ind w:firstLine="426"/>
        <w:jc w:val="both"/>
        <w:rPr>
          <w:i w:val="0"/>
          <w:iCs/>
        </w:rPr>
      </w:pPr>
      <w:r w:rsidRPr="00B9166F">
        <w:rPr>
          <w:i w:val="0"/>
          <w:iCs/>
        </w:rPr>
        <w:t>All statistical analyses were conducted using Statistical Package for the Social Sciences (SPSS), version 29.0 (IBM Corp., Armonk, NY, USA). Descriptive statistics were presented as means ± standard deviations for continuous variables and as frequencies and percentages for categorical variables.</w:t>
      </w:r>
    </w:p>
    <w:p w14:paraId="50345880" w14:textId="77777777" w:rsidR="00520293" w:rsidRDefault="00B9166F" w:rsidP="00520293">
      <w:pPr>
        <w:pStyle w:val="Articalhistory"/>
        <w:spacing w:line="240" w:lineRule="auto"/>
        <w:jc w:val="both"/>
        <w:rPr>
          <w:i w:val="0"/>
          <w:iCs/>
        </w:rPr>
      </w:pPr>
      <w:r w:rsidRPr="00B9166F">
        <w:rPr>
          <w:i w:val="0"/>
          <w:iCs/>
        </w:rPr>
        <w:lastRenderedPageBreak/>
        <w:t>To assess the differences between paired observations, paired-sample t-tests were applied. In addition, Pearson’s correlation coefficient was used to evaluate the strength and direction of associations between continuous variables. A p-value less than 0.05 was considered statistically significant.</w:t>
      </w:r>
    </w:p>
    <w:p w14:paraId="6053E8AA" w14:textId="4FBAFA1C" w:rsidR="00520293" w:rsidRDefault="00520293" w:rsidP="00520293">
      <w:pPr>
        <w:pStyle w:val="Articalhistory"/>
        <w:spacing w:line="240" w:lineRule="auto"/>
        <w:jc w:val="both"/>
        <w:rPr>
          <w:i w:val="0"/>
          <w:iCs/>
        </w:rPr>
      </w:pPr>
      <w:r>
        <w:rPr>
          <w:i w:val="0"/>
          <w:iCs/>
        </w:rPr>
        <w:t xml:space="preserve">       </w:t>
      </w:r>
      <w:r w:rsidRPr="00C7215B">
        <w:rPr>
          <w:i w:val="0"/>
          <w:iCs/>
        </w:rPr>
        <w:t>This study was reviewed and approved by the Ethics Committee of the College of Medicine, University of Tikrit, under approval number 397/7/3, dated August 18, 2024.</w:t>
      </w:r>
    </w:p>
    <w:p w14:paraId="0E11A21F" w14:textId="77777777" w:rsidR="00520293" w:rsidRPr="00C7215B" w:rsidRDefault="00520293" w:rsidP="00520293">
      <w:pPr>
        <w:pStyle w:val="Articalhistory"/>
        <w:spacing w:line="240" w:lineRule="auto"/>
        <w:ind w:firstLine="720"/>
        <w:jc w:val="both"/>
        <w:rPr>
          <w:i w:val="0"/>
          <w:iCs/>
        </w:rPr>
      </w:pPr>
    </w:p>
    <w:p w14:paraId="06F0B0E3" w14:textId="74492550" w:rsidR="00717BCE" w:rsidRDefault="00717BCE" w:rsidP="00F14948">
      <w:pPr>
        <w:pStyle w:val="NoSpacing"/>
        <w:rPr>
          <w:b/>
          <w:bCs/>
        </w:rPr>
      </w:pPr>
      <w:r w:rsidRPr="00717BCE">
        <w:rPr>
          <w:b/>
          <w:bCs/>
        </w:rPr>
        <w:t>Results</w:t>
      </w:r>
    </w:p>
    <w:p w14:paraId="5506DEDC" w14:textId="167D00A2" w:rsidR="00B9166F" w:rsidRDefault="00B9166F" w:rsidP="00F14948">
      <w:pPr>
        <w:pStyle w:val="Articalhistory"/>
        <w:spacing w:after="240" w:line="240" w:lineRule="auto"/>
        <w:jc w:val="both"/>
        <w:rPr>
          <w:b/>
          <w:bCs/>
          <w:i w:val="0"/>
          <w:iCs/>
          <w:szCs w:val="24"/>
        </w:rPr>
      </w:pPr>
      <w:r w:rsidRPr="00B9166F">
        <w:rPr>
          <w:i w:val="0"/>
          <w:iCs/>
          <w:szCs w:val="24"/>
        </w:rPr>
        <w:t xml:space="preserve">          The baseline characteristics of the rheumatoid arthritis (RA) patients and the control group (n = 45 each) are summarized in Table </w:t>
      </w:r>
      <w:r w:rsidRPr="00B9166F">
        <w:rPr>
          <w:i w:val="0"/>
          <w:iCs/>
          <w:szCs w:val="24"/>
          <w:rtl/>
        </w:rPr>
        <w:t>1</w:t>
      </w:r>
      <w:r w:rsidRPr="00B9166F">
        <w:rPr>
          <w:i w:val="0"/>
          <w:iCs/>
          <w:szCs w:val="24"/>
        </w:rPr>
        <w:t>. Both groups had an identical gender distribution (17 males, 28 females), although a statistically significant difference was reported (p &lt; 0.05), which may require clarification. The mean age showed no significant difference between RA patients (42.7 ± 10.3 years) and controls (42.5 ± 10.1 years; p &gt; 0.05), indicating proper age matching. A significant reduction in BMI was observed in RA patients after treatment (from 26.3 ± 5.1 to 21.4 ± 1.9 kg/m²; p &lt; 0.05), suggesting a potential effect of therapy. The mean disease duration among RA patients was 3.64 years. Family history of RA was more common in patients than in controls, with a statistically significant difference (p &lt; 0.05</w:t>
      </w:r>
      <w:r w:rsidRPr="00B9166F">
        <w:rPr>
          <w:b/>
          <w:bCs/>
          <w:i w:val="0"/>
          <w:iCs/>
          <w:szCs w:val="24"/>
        </w:rPr>
        <w:t>).</w:t>
      </w:r>
    </w:p>
    <w:p w14:paraId="03A07764" w14:textId="3E4ECF67" w:rsidR="00B9166F" w:rsidRPr="00B9166F" w:rsidRDefault="00B9166F" w:rsidP="00B9166F">
      <w:pPr>
        <w:autoSpaceDE w:val="0"/>
        <w:autoSpaceDN w:val="0"/>
        <w:adjustRightInd w:val="0"/>
        <w:rPr>
          <w:rFonts w:cstheme="majorBidi"/>
          <w:color w:val="auto"/>
          <w:sz w:val="24"/>
        </w:rPr>
      </w:pPr>
      <w:r w:rsidRPr="00B9166F">
        <w:rPr>
          <w:rFonts w:eastAsia="Times New Roman" w:cstheme="majorBidi"/>
          <w:b/>
          <w:bCs/>
          <w:color w:val="auto"/>
          <w:sz w:val="24"/>
        </w:rPr>
        <w:t>Table 1</w:t>
      </w:r>
      <w:r w:rsidRPr="00B9166F">
        <w:rPr>
          <w:rFonts w:eastAsia="Times New Roman" w:cstheme="majorBidi"/>
          <w:color w:val="auto"/>
          <w:sz w:val="24"/>
        </w:rPr>
        <w:t>: demographic characteristics of study participants (RA patients and control group)</w:t>
      </w:r>
      <w:r w:rsidR="00E10703">
        <w:rPr>
          <w:rFonts w:eastAsia="Times New Roman" w:cstheme="majorBidi"/>
          <w:color w:val="auto"/>
          <w:sz w:val="24"/>
        </w:rPr>
        <w:t>.</w:t>
      </w:r>
    </w:p>
    <w:tbl>
      <w:tblPr>
        <w:tblStyle w:val="TableGrid1"/>
        <w:tblW w:w="0" w:type="auto"/>
        <w:jc w:val="center"/>
        <w:tblLook w:val="04A0" w:firstRow="1" w:lastRow="0" w:firstColumn="1" w:lastColumn="0" w:noHBand="0" w:noVBand="1"/>
      </w:tblPr>
      <w:tblGrid>
        <w:gridCol w:w="2819"/>
        <w:gridCol w:w="1225"/>
        <w:gridCol w:w="1225"/>
        <w:gridCol w:w="1530"/>
        <w:gridCol w:w="1276"/>
      </w:tblGrid>
      <w:tr w:rsidR="00B9166F" w:rsidRPr="00D03FD0" w14:paraId="5040CCC9" w14:textId="77777777" w:rsidTr="00F830C4">
        <w:trPr>
          <w:jc w:val="center"/>
        </w:trPr>
        <w:tc>
          <w:tcPr>
            <w:tcW w:w="2819" w:type="dxa"/>
            <w:vMerge w:val="restart"/>
            <w:vAlign w:val="center"/>
          </w:tcPr>
          <w:p w14:paraId="3E10E629"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Characteristic</w:t>
            </w:r>
          </w:p>
        </w:tc>
        <w:tc>
          <w:tcPr>
            <w:tcW w:w="2450" w:type="dxa"/>
            <w:gridSpan w:val="2"/>
            <w:vAlign w:val="center"/>
          </w:tcPr>
          <w:p w14:paraId="295A7A87"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Rheumatoid Arthritis</w:t>
            </w:r>
          </w:p>
          <w:p w14:paraId="0F1B5966"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Group</w:t>
            </w:r>
          </w:p>
        </w:tc>
        <w:tc>
          <w:tcPr>
            <w:tcW w:w="1530" w:type="dxa"/>
            <w:vMerge w:val="restart"/>
            <w:vAlign w:val="center"/>
          </w:tcPr>
          <w:p w14:paraId="2741550E"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Control Group</w:t>
            </w:r>
          </w:p>
          <w:p w14:paraId="1068BA01"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(n = 45)</w:t>
            </w:r>
          </w:p>
        </w:tc>
        <w:tc>
          <w:tcPr>
            <w:tcW w:w="1276" w:type="dxa"/>
            <w:vMerge w:val="restart"/>
            <w:vAlign w:val="center"/>
          </w:tcPr>
          <w:p w14:paraId="1CB46985"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p-value</w:t>
            </w:r>
          </w:p>
        </w:tc>
      </w:tr>
      <w:tr w:rsidR="00B9166F" w:rsidRPr="00D03FD0" w14:paraId="5D1DE1EB" w14:textId="77777777" w:rsidTr="00F830C4">
        <w:trPr>
          <w:jc w:val="center"/>
        </w:trPr>
        <w:tc>
          <w:tcPr>
            <w:tcW w:w="2819" w:type="dxa"/>
            <w:vMerge/>
            <w:vAlign w:val="center"/>
          </w:tcPr>
          <w:p w14:paraId="60FD2112" w14:textId="77777777" w:rsidR="00B9166F" w:rsidRPr="00D03FD0" w:rsidRDefault="00B9166F" w:rsidP="00A92CFB">
            <w:pPr>
              <w:jc w:val="center"/>
              <w:rPr>
                <w:rFonts w:cstheme="majorBidi"/>
                <w:b/>
                <w:bCs/>
                <w:color w:val="auto"/>
                <w:sz w:val="20"/>
                <w:szCs w:val="20"/>
              </w:rPr>
            </w:pPr>
          </w:p>
        </w:tc>
        <w:tc>
          <w:tcPr>
            <w:tcW w:w="1225" w:type="dxa"/>
            <w:vAlign w:val="center"/>
          </w:tcPr>
          <w:p w14:paraId="69EA9883"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Before treatment</w:t>
            </w:r>
          </w:p>
          <w:p w14:paraId="67E9C5C9"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(n = 45)</w:t>
            </w:r>
          </w:p>
        </w:tc>
        <w:tc>
          <w:tcPr>
            <w:tcW w:w="1225" w:type="dxa"/>
            <w:vAlign w:val="center"/>
          </w:tcPr>
          <w:p w14:paraId="0E5594F4"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After treatment</w:t>
            </w:r>
          </w:p>
          <w:p w14:paraId="043FFB75" w14:textId="77777777" w:rsidR="00B9166F" w:rsidRPr="00D03FD0" w:rsidRDefault="00B9166F" w:rsidP="00A92CFB">
            <w:pPr>
              <w:jc w:val="center"/>
              <w:rPr>
                <w:rFonts w:cstheme="majorBidi"/>
                <w:b/>
                <w:bCs/>
                <w:color w:val="auto"/>
                <w:sz w:val="20"/>
                <w:szCs w:val="20"/>
              </w:rPr>
            </w:pPr>
            <w:r w:rsidRPr="00D03FD0">
              <w:rPr>
                <w:rFonts w:cstheme="majorBidi"/>
                <w:b/>
                <w:bCs/>
                <w:color w:val="auto"/>
                <w:sz w:val="20"/>
                <w:szCs w:val="20"/>
              </w:rPr>
              <w:t>(n = 45)</w:t>
            </w:r>
          </w:p>
        </w:tc>
        <w:tc>
          <w:tcPr>
            <w:tcW w:w="1530" w:type="dxa"/>
            <w:vMerge/>
            <w:vAlign w:val="center"/>
          </w:tcPr>
          <w:p w14:paraId="259E6E6E" w14:textId="77777777" w:rsidR="00B9166F" w:rsidRPr="00D03FD0" w:rsidRDefault="00B9166F" w:rsidP="00A92CFB">
            <w:pPr>
              <w:jc w:val="center"/>
              <w:rPr>
                <w:rFonts w:cstheme="majorBidi"/>
                <w:b/>
                <w:bCs/>
                <w:color w:val="auto"/>
                <w:sz w:val="20"/>
                <w:szCs w:val="20"/>
              </w:rPr>
            </w:pPr>
          </w:p>
        </w:tc>
        <w:tc>
          <w:tcPr>
            <w:tcW w:w="1276" w:type="dxa"/>
            <w:vMerge/>
            <w:vAlign w:val="center"/>
          </w:tcPr>
          <w:p w14:paraId="49FF2AE8" w14:textId="77777777" w:rsidR="00B9166F" w:rsidRPr="00D03FD0" w:rsidRDefault="00B9166F" w:rsidP="00A92CFB">
            <w:pPr>
              <w:jc w:val="center"/>
              <w:rPr>
                <w:rFonts w:cstheme="majorBidi"/>
                <w:b/>
                <w:bCs/>
                <w:color w:val="auto"/>
                <w:sz w:val="20"/>
                <w:szCs w:val="20"/>
              </w:rPr>
            </w:pPr>
          </w:p>
        </w:tc>
      </w:tr>
      <w:tr w:rsidR="00B9166F" w:rsidRPr="00D03FD0" w14:paraId="37E6FEDA" w14:textId="77777777" w:rsidTr="00F830C4">
        <w:trPr>
          <w:jc w:val="center"/>
        </w:trPr>
        <w:tc>
          <w:tcPr>
            <w:tcW w:w="2819" w:type="dxa"/>
            <w:vAlign w:val="center"/>
          </w:tcPr>
          <w:p w14:paraId="5E70D3D4" w14:textId="77777777" w:rsidR="00B9166F" w:rsidRPr="00D03FD0" w:rsidRDefault="00B9166F" w:rsidP="00A92CFB">
            <w:pPr>
              <w:spacing w:after="160"/>
              <w:jc w:val="center"/>
              <w:rPr>
                <w:rFonts w:cstheme="majorBidi"/>
                <w:b/>
                <w:bCs/>
                <w:color w:val="auto"/>
                <w:sz w:val="20"/>
                <w:szCs w:val="20"/>
              </w:rPr>
            </w:pPr>
            <w:r w:rsidRPr="00D03FD0">
              <w:rPr>
                <w:rFonts w:cstheme="majorBidi"/>
                <w:b/>
                <w:bCs/>
                <w:color w:val="auto"/>
                <w:sz w:val="20"/>
                <w:szCs w:val="20"/>
              </w:rPr>
              <w:t>Gender (Male)</w:t>
            </w:r>
          </w:p>
        </w:tc>
        <w:tc>
          <w:tcPr>
            <w:tcW w:w="1225" w:type="dxa"/>
            <w:vAlign w:val="center"/>
          </w:tcPr>
          <w:p w14:paraId="297B5597"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17</w:t>
            </w:r>
          </w:p>
        </w:tc>
        <w:tc>
          <w:tcPr>
            <w:tcW w:w="1225" w:type="dxa"/>
            <w:vAlign w:val="center"/>
          </w:tcPr>
          <w:p w14:paraId="7B8F5912"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17</w:t>
            </w:r>
          </w:p>
        </w:tc>
        <w:tc>
          <w:tcPr>
            <w:tcW w:w="1530" w:type="dxa"/>
            <w:vAlign w:val="center"/>
          </w:tcPr>
          <w:p w14:paraId="4558F1DD"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17</w:t>
            </w:r>
          </w:p>
        </w:tc>
        <w:tc>
          <w:tcPr>
            <w:tcW w:w="1276" w:type="dxa"/>
            <w:vAlign w:val="center"/>
          </w:tcPr>
          <w:p w14:paraId="00437B8A"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&lt; 0.05</w:t>
            </w:r>
          </w:p>
        </w:tc>
      </w:tr>
      <w:tr w:rsidR="00B9166F" w:rsidRPr="00D03FD0" w14:paraId="565A09B8" w14:textId="77777777" w:rsidTr="00F830C4">
        <w:trPr>
          <w:jc w:val="center"/>
        </w:trPr>
        <w:tc>
          <w:tcPr>
            <w:tcW w:w="2819" w:type="dxa"/>
            <w:vAlign w:val="center"/>
          </w:tcPr>
          <w:p w14:paraId="33CBC0FF" w14:textId="77777777" w:rsidR="00B9166F" w:rsidRPr="00D03FD0" w:rsidRDefault="00B9166F" w:rsidP="00A92CFB">
            <w:pPr>
              <w:spacing w:after="160"/>
              <w:jc w:val="center"/>
              <w:rPr>
                <w:rFonts w:cstheme="majorBidi"/>
                <w:b/>
                <w:bCs/>
                <w:color w:val="auto"/>
                <w:sz w:val="20"/>
                <w:szCs w:val="20"/>
              </w:rPr>
            </w:pPr>
            <w:r w:rsidRPr="00D03FD0">
              <w:rPr>
                <w:rFonts w:cstheme="majorBidi"/>
                <w:b/>
                <w:bCs/>
                <w:color w:val="auto"/>
                <w:sz w:val="20"/>
                <w:szCs w:val="20"/>
              </w:rPr>
              <w:t>Gender (Female)</w:t>
            </w:r>
          </w:p>
        </w:tc>
        <w:tc>
          <w:tcPr>
            <w:tcW w:w="1225" w:type="dxa"/>
            <w:vAlign w:val="center"/>
          </w:tcPr>
          <w:p w14:paraId="2AB7C9A9"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28</w:t>
            </w:r>
          </w:p>
        </w:tc>
        <w:tc>
          <w:tcPr>
            <w:tcW w:w="1225" w:type="dxa"/>
            <w:vAlign w:val="center"/>
          </w:tcPr>
          <w:p w14:paraId="67C015C2"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28</w:t>
            </w:r>
          </w:p>
        </w:tc>
        <w:tc>
          <w:tcPr>
            <w:tcW w:w="1530" w:type="dxa"/>
            <w:vAlign w:val="center"/>
          </w:tcPr>
          <w:p w14:paraId="4F0FAA9D"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28</w:t>
            </w:r>
          </w:p>
        </w:tc>
        <w:tc>
          <w:tcPr>
            <w:tcW w:w="1276" w:type="dxa"/>
            <w:vAlign w:val="center"/>
          </w:tcPr>
          <w:p w14:paraId="27111B88"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&lt; 0.05</w:t>
            </w:r>
          </w:p>
        </w:tc>
      </w:tr>
      <w:tr w:rsidR="00B9166F" w:rsidRPr="00D03FD0" w14:paraId="6946C0DA" w14:textId="77777777" w:rsidTr="00F830C4">
        <w:trPr>
          <w:jc w:val="center"/>
        </w:trPr>
        <w:tc>
          <w:tcPr>
            <w:tcW w:w="2819" w:type="dxa"/>
            <w:vAlign w:val="center"/>
          </w:tcPr>
          <w:p w14:paraId="5733C576" w14:textId="77777777" w:rsidR="00B9166F" w:rsidRPr="00D03FD0" w:rsidRDefault="00B9166F" w:rsidP="00A92CFB">
            <w:pPr>
              <w:spacing w:after="160"/>
              <w:jc w:val="center"/>
              <w:rPr>
                <w:rFonts w:cstheme="majorBidi"/>
                <w:b/>
                <w:bCs/>
                <w:color w:val="auto"/>
                <w:sz w:val="20"/>
                <w:szCs w:val="20"/>
              </w:rPr>
            </w:pPr>
            <w:r w:rsidRPr="00D03FD0">
              <w:rPr>
                <w:rFonts w:cstheme="majorBidi"/>
                <w:b/>
                <w:bCs/>
                <w:color w:val="auto"/>
                <w:sz w:val="20"/>
                <w:szCs w:val="20"/>
              </w:rPr>
              <w:t>Mean Age (Years)</w:t>
            </w:r>
          </w:p>
        </w:tc>
        <w:tc>
          <w:tcPr>
            <w:tcW w:w="2450" w:type="dxa"/>
            <w:gridSpan w:val="2"/>
            <w:vAlign w:val="center"/>
          </w:tcPr>
          <w:p w14:paraId="782B361A"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42.7 ± 10.3</w:t>
            </w:r>
          </w:p>
        </w:tc>
        <w:tc>
          <w:tcPr>
            <w:tcW w:w="1530" w:type="dxa"/>
            <w:vAlign w:val="center"/>
          </w:tcPr>
          <w:p w14:paraId="2CC7756A"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42.5 ± 10.1</w:t>
            </w:r>
          </w:p>
        </w:tc>
        <w:tc>
          <w:tcPr>
            <w:tcW w:w="1276" w:type="dxa"/>
            <w:vAlign w:val="center"/>
          </w:tcPr>
          <w:p w14:paraId="7AF0219F"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&gt; 0.05</w:t>
            </w:r>
          </w:p>
        </w:tc>
      </w:tr>
      <w:tr w:rsidR="00B9166F" w:rsidRPr="00D03FD0" w14:paraId="46609CCA" w14:textId="77777777" w:rsidTr="00F830C4">
        <w:trPr>
          <w:jc w:val="center"/>
        </w:trPr>
        <w:tc>
          <w:tcPr>
            <w:tcW w:w="2819" w:type="dxa"/>
            <w:vAlign w:val="center"/>
          </w:tcPr>
          <w:p w14:paraId="5A616135" w14:textId="77777777" w:rsidR="00B9166F" w:rsidRPr="00D03FD0" w:rsidRDefault="00B9166F" w:rsidP="00A92CFB">
            <w:pPr>
              <w:spacing w:after="160"/>
              <w:jc w:val="center"/>
              <w:rPr>
                <w:rFonts w:cstheme="majorBidi"/>
                <w:b/>
                <w:bCs/>
                <w:color w:val="auto"/>
                <w:sz w:val="20"/>
                <w:szCs w:val="20"/>
              </w:rPr>
            </w:pPr>
            <w:r w:rsidRPr="00D03FD0">
              <w:rPr>
                <w:rFonts w:cstheme="majorBidi"/>
                <w:b/>
                <w:bCs/>
                <w:color w:val="auto"/>
                <w:sz w:val="20"/>
                <w:szCs w:val="20"/>
              </w:rPr>
              <w:t>Mean BMI (kg/m²)</w:t>
            </w:r>
          </w:p>
        </w:tc>
        <w:tc>
          <w:tcPr>
            <w:tcW w:w="2450" w:type="dxa"/>
            <w:gridSpan w:val="2"/>
            <w:vAlign w:val="center"/>
          </w:tcPr>
          <w:p w14:paraId="64DB0B50"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26.3 ± 5.1</w:t>
            </w:r>
          </w:p>
        </w:tc>
        <w:tc>
          <w:tcPr>
            <w:tcW w:w="1530" w:type="dxa"/>
            <w:vAlign w:val="center"/>
          </w:tcPr>
          <w:p w14:paraId="424DECD4"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21.4 ±1.9</w:t>
            </w:r>
          </w:p>
        </w:tc>
        <w:tc>
          <w:tcPr>
            <w:tcW w:w="1276" w:type="dxa"/>
            <w:vAlign w:val="center"/>
          </w:tcPr>
          <w:p w14:paraId="42836904"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&lt; 0.05</w:t>
            </w:r>
          </w:p>
        </w:tc>
      </w:tr>
      <w:tr w:rsidR="00B9166F" w:rsidRPr="00D03FD0" w14:paraId="7A91B4E5" w14:textId="77777777" w:rsidTr="00F830C4">
        <w:trPr>
          <w:jc w:val="center"/>
        </w:trPr>
        <w:tc>
          <w:tcPr>
            <w:tcW w:w="2819" w:type="dxa"/>
            <w:vAlign w:val="center"/>
          </w:tcPr>
          <w:p w14:paraId="036BBF2A" w14:textId="77777777" w:rsidR="00B9166F" w:rsidRPr="00D03FD0" w:rsidRDefault="00B9166F" w:rsidP="00A92CFB">
            <w:pPr>
              <w:spacing w:after="160"/>
              <w:jc w:val="center"/>
              <w:rPr>
                <w:rFonts w:cstheme="majorBidi"/>
                <w:b/>
                <w:bCs/>
                <w:color w:val="auto"/>
                <w:sz w:val="20"/>
                <w:szCs w:val="20"/>
              </w:rPr>
            </w:pPr>
            <w:r w:rsidRPr="00D03FD0">
              <w:rPr>
                <w:rFonts w:cstheme="majorBidi"/>
                <w:b/>
                <w:bCs/>
                <w:color w:val="auto"/>
                <w:sz w:val="20"/>
                <w:szCs w:val="20"/>
              </w:rPr>
              <w:t>Mean RA Duration (Years)</w:t>
            </w:r>
          </w:p>
        </w:tc>
        <w:tc>
          <w:tcPr>
            <w:tcW w:w="2450" w:type="dxa"/>
            <w:gridSpan w:val="2"/>
            <w:vAlign w:val="center"/>
          </w:tcPr>
          <w:p w14:paraId="57915033"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3.64</w:t>
            </w:r>
          </w:p>
        </w:tc>
        <w:tc>
          <w:tcPr>
            <w:tcW w:w="1530" w:type="dxa"/>
            <w:vAlign w:val="center"/>
          </w:tcPr>
          <w:p w14:paraId="7CBE993A"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w:t>
            </w:r>
          </w:p>
        </w:tc>
        <w:tc>
          <w:tcPr>
            <w:tcW w:w="1276" w:type="dxa"/>
            <w:vAlign w:val="center"/>
          </w:tcPr>
          <w:p w14:paraId="37094B12"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w:t>
            </w:r>
          </w:p>
        </w:tc>
      </w:tr>
      <w:tr w:rsidR="00B9166F" w:rsidRPr="00D03FD0" w14:paraId="7360B25A" w14:textId="77777777" w:rsidTr="00F830C4">
        <w:trPr>
          <w:jc w:val="center"/>
        </w:trPr>
        <w:tc>
          <w:tcPr>
            <w:tcW w:w="2819" w:type="dxa"/>
            <w:vAlign w:val="center"/>
          </w:tcPr>
          <w:p w14:paraId="42D5C0B5" w14:textId="77777777" w:rsidR="00B9166F" w:rsidRPr="00D03FD0" w:rsidRDefault="00B9166F" w:rsidP="00A92CFB">
            <w:pPr>
              <w:spacing w:after="160"/>
              <w:jc w:val="center"/>
              <w:rPr>
                <w:rFonts w:cstheme="majorBidi"/>
                <w:b/>
                <w:bCs/>
                <w:color w:val="auto"/>
                <w:sz w:val="20"/>
                <w:szCs w:val="20"/>
              </w:rPr>
            </w:pPr>
            <w:r w:rsidRPr="00D03FD0">
              <w:rPr>
                <w:rFonts w:cstheme="majorBidi"/>
                <w:b/>
                <w:bCs/>
                <w:color w:val="auto"/>
                <w:sz w:val="20"/>
                <w:szCs w:val="20"/>
              </w:rPr>
              <w:t>Family History (Positive)</w:t>
            </w:r>
          </w:p>
        </w:tc>
        <w:tc>
          <w:tcPr>
            <w:tcW w:w="2450" w:type="dxa"/>
            <w:gridSpan w:val="2"/>
            <w:vAlign w:val="center"/>
          </w:tcPr>
          <w:p w14:paraId="1D4EC1FD"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17</w:t>
            </w:r>
          </w:p>
        </w:tc>
        <w:tc>
          <w:tcPr>
            <w:tcW w:w="1530" w:type="dxa"/>
            <w:vAlign w:val="center"/>
          </w:tcPr>
          <w:p w14:paraId="7174BF67"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21</w:t>
            </w:r>
          </w:p>
        </w:tc>
        <w:tc>
          <w:tcPr>
            <w:tcW w:w="1276" w:type="dxa"/>
            <w:vAlign w:val="center"/>
          </w:tcPr>
          <w:p w14:paraId="26DFD0F9"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&lt; 0.05</w:t>
            </w:r>
          </w:p>
        </w:tc>
      </w:tr>
      <w:tr w:rsidR="00B9166F" w:rsidRPr="00D03FD0" w14:paraId="28088948" w14:textId="77777777" w:rsidTr="00F830C4">
        <w:trPr>
          <w:jc w:val="center"/>
        </w:trPr>
        <w:tc>
          <w:tcPr>
            <w:tcW w:w="2819" w:type="dxa"/>
            <w:vAlign w:val="center"/>
          </w:tcPr>
          <w:p w14:paraId="5FA714FD" w14:textId="77777777" w:rsidR="00B9166F" w:rsidRPr="00D03FD0" w:rsidRDefault="00B9166F" w:rsidP="00A92CFB">
            <w:pPr>
              <w:spacing w:after="160"/>
              <w:jc w:val="center"/>
              <w:rPr>
                <w:rFonts w:cstheme="majorBidi"/>
                <w:b/>
                <w:bCs/>
                <w:color w:val="auto"/>
                <w:sz w:val="20"/>
                <w:szCs w:val="20"/>
              </w:rPr>
            </w:pPr>
            <w:r w:rsidRPr="00D03FD0">
              <w:rPr>
                <w:rFonts w:cstheme="majorBidi"/>
                <w:b/>
                <w:bCs/>
                <w:color w:val="auto"/>
                <w:sz w:val="20"/>
                <w:szCs w:val="20"/>
              </w:rPr>
              <w:t>Family History (Negative)</w:t>
            </w:r>
          </w:p>
        </w:tc>
        <w:tc>
          <w:tcPr>
            <w:tcW w:w="2450" w:type="dxa"/>
            <w:gridSpan w:val="2"/>
            <w:vAlign w:val="center"/>
          </w:tcPr>
          <w:p w14:paraId="27DD1623"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28.0</w:t>
            </w:r>
          </w:p>
        </w:tc>
        <w:tc>
          <w:tcPr>
            <w:tcW w:w="1530" w:type="dxa"/>
            <w:vAlign w:val="center"/>
          </w:tcPr>
          <w:p w14:paraId="67A70997"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24</w:t>
            </w:r>
          </w:p>
        </w:tc>
        <w:tc>
          <w:tcPr>
            <w:tcW w:w="1276" w:type="dxa"/>
            <w:vAlign w:val="center"/>
          </w:tcPr>
          <w:p w14:paraId="0E27CDA2" w14:textId="77777777" w:rsidR="00B9166F" w:rsidRPr="00D03FD0" w:rsidRDefault="00B9166F" w:rsidP="00A92CFB">
            <w:pPr>
              <w:spacing w:after="160"/>
              <w:jc w:val="center"/>
              <w:rPr>
                <w:rFonts w:cstheme="majorBidi"/>
                <w:color w:val="auto"/>
                <w:sz w:val="20"/>
                <w:szCs w:val="20"/>
              </w:rPr>
            </w:pPr>
            <w:r w:rsidRPr="00D03FD0">
              <w:rPr>
                <w:rFonts w:cstheme="majorBidi"/>
                <w:color w:val="auto"/>
                <w:sz w:val="20"/>
                <w:szCs w:val="20"/>
              </w:rPr>
              <w:t>&lt; 0.05</w:t>
            </w:r>
          </w:p>
        </w:tc>
      </w:tr>
    </w:tbl>
    <w:p w14:paraId="344FA0FF" w14:textId="77777777" w:rsidR="00D03FD0" w:rsidRDefault="00D03FD0" w:rsidP="00D03FD0">
      <w:pPr>
        <w:pStyle w:val="Articalhistory"/>
        <w:jc w:val="both"/>
        <w:rPr>
          <w:i w:val="0"/>
          <w:iCs/>
        </w:rPr>
      </w:pPr>
    </w:p>
    <w:p w14:paraId="67DF4FCA" w14:textId="525F7D1D" w:rsidR="00B9166F" w:rsidRDefault="00B9166F" w:rsidP="00A72CDE">
      <w:pPr>
        <w:pStyle w:val="Articalhistory"/>
        <w:spacing w:line="240" w:lineRule="auto"/>
        <w:ind w:firstLine="720"/>
        <w:jc w:val="both"/>
        <w:rPr>
          <w:i w:val="0"/>
          <w:iCs/>
        </w:rPr>
      </w:pPr>
      <w:r w:rsidRPr="00B9166F">
        <w:rPr>
          <w:i w:val="0"/>
          <w:iCs/>
        </w:rPr>
        <w:t xml:space="preserve">As shown in table 2 The analysis of RA-associated biomarkers revealed statistically significant alterations following treatment. Anti-Cyclic Citrullinated Peptide (Anti-CCP) levels were markedly elevated in RA patients prior to treatment (mean ± SD: 531.2 ± 91.4 ng/ml), and decreased significantly after treatment (273.4 ± 93.5 ng/ml; p &lt; 0.001). Compared to the control group (91.2 ± 11.3 ng/ml), both pre- and post-treatment values were significantly higher (p &lt; 0.01), confirming the diagnostic and disease activity relevance of Anti-CCP in RA. </w:t>
      </w:r>
      <w:proofErr w:type="spellStart"/>
      <w:r w:rsidRPr="00B9166F">
        <w:rPr>
          <w:i w:val="0"/>
          <w:iCs/>
        </w:rPr>
        <w:t>Tumor</w:t>
      </w:r>
      <w:proofErr w:type="spellEnd"/>
      <w:r w:rsidRPr="00B9166F">
        <w:rPr>
          <w:i w:val="0"/>
          <w:iCs/>
        </w:rPr>
        <w:t xml:space="preserve"> Necrosis Factor-alpha (TNF-α) showed a significant reduction following therapy, from 849.0 ± 24.0 ng/ml to 120.4 ± 8.0 ng/ml (p &lt; 0.01). Nevertheless, TNF-α levels remained significantly higher than those in the control group (64.3 ± 7.3 ng/ml; p &lt; 0.01), indicating ongoing, though reduced, inflammatory activity. Adenosine Deaminase (ADA) activity significantly declined post-treatment (from 14.9 ± 7.5 ng/ml to 1.6 ± 1.3 ng/ml; p &lt; 0.01). Post-treatment ADA values showed no statistically significant difference compared to the control group (1.4 ± 0.3 ng/ml; p = 0.149), suggesting normalization of this enzymatic marker after therapeutic intervention.</w:t>
      </w:r>
    </w:p>
    <w:p w14:paraId="3EFE3117" w14:textId="77777777" w:rsidR="00A92CFB" w:rsidRPr="00B9166F" w:rsidRDefault="00A92CFB" w:rsidP="00A72CDE">
      <w:pPr>
        <w:pStyle w:val="Articalhistory"/>
        <w:spacing w:line="240" w:lineRule="auto"/>
        <w:ind w:firstLine="720"/>
        <w:jc w:val="both"/>
        <w:rPr>
          <w:i w:val="0"/>
          <w:iCs/>
        </w:rPr>
      </w:pPr>
    </w:p>
    <w:p w14:paraId="7D04E7A6" w14:textId="3C7D5946" w:rsidR="00B9166F" w:rsidRPr="00762DBA" w:rsidRDefault="00B9166F" w:rsidP="00E10703">
      <w:pPr>
        <w:pStyle w:val="Articalhistory"/>
        <w:spacing w:line="240" w:lineRule="auto"/>
        <w:jc w:val="center"/>
        <w:rPr>
          <w:i w:val="0"/>
          <w:iCs/>
        </w:rPr>
      </w:pPr>
      <w:r w:rsidRPr="00B9166F">
        <w:rPr>
          <w:b/>
          <w:bCs/>
          <w:i w:val="0"/>
          <w:iCs/>
        </w:rPr>
        <w:lastRenderedPageBreak/>
        <w:t>Table 2:</w:t>
      </w:r>
      <w:r w:rsidRPr="00B9166F">
        <w:rPr>
          <w:i w:val="0"/>
          <w:iCs/>
        </w:rPr>
        <w:t xml:space="preserve"> </w:t>
      </w:r>
      <w:r w:rsidRPr="00762DBA">
        <w:rPr>
          <w:i w:val="0"/>
          <w:iCs/>
        </w:rPr>
        <w:t xml:space="preserve">Paired </w:t>
      </w:r>
      <w:r w:rsidR="00762DBA" w:rsidRPr="00762DBA">
        <w:rPr>
          <w:i w:val="0"/>
          <w:iCs/>
        </w:rPr>
        <w:t>sample comparison of immunological and markers before and after treatment with</w:t>
      </w:r>
      <w:r w:rsidRPr="00762DBA">
        <w:rPr>
          <w:i w:val="0"/>
          <w:iCs/>
        </w:rPr>
        <w:t xml:space="preserve"> NSAIDs in Rheumatoid Arthritis </w:t>
      </w:r>
      <w:r w:rsidR="00762DBA" w:rsidRPr="00762DBA">
        <w:rPr>
          <w:i w:val="0"/>
          <w:iCs/>
        </w:rPr>
        <w:t>patients with healthy control</w:t>
      </w:r>
      <w:r w:rsidRPr="00762DBA">
        <w:rPr>
          <w:i w:val="0"/>
          <w:iCs/>
        </w:rPr>
        <w:t>.</w:t>
      </w:r>
    </w:p>
    <w:p w14:paraId="494C710C" w14:textId="77777777" w:rsidR="00D03FD0" w:rsidRPr="00762DBA" w:rsidRDefault="00D03FD0" w:rsidP="00B9166F">
      <w:pPr>
        <w:pStyle w:val="Articalhistory"/>
        <w:spacing w:line="240" w:lineRule="auto"/>
        <w:jc w:val="both"/>
        <w:rPr>
          <w:b/>
          <w:bCs/>
          <w:i w:val="0"/>
          <w:iCs/>
        </w:rPr>
      </w:pPr>
    </w:p>
    <w:tbl>
      <w:tblPr>
        <w:tblStyle w:val="TableGrid1"/>
        <w:tblW w:w="0" w:type="auto"/>
        <w:jc w:val="center"/>
        <w:tblLook w:val="0000" w:firstRow="0" w:lastRow="0" w:firstColumn="0" w:lastColumn="0" w:noHBand="0" w:noVBand="0"/>
      </w:tblPr>
      <w:tblGrid>
        <w:gridCol w:w="1418"/>
        <w:gridCol w:w="1559"/>
        <w:gridCol w:w="850"/>
        <w:gridCol w:w="1134"/>
        <w:gridCol w:w="1276"/>
        <w:gridCol w:w="992"/>
      </w:tblGrid>
      <w:tr w:rsidR="00B9166F" w:rsidRPr="00D03FD0" w14:paraId="31383317" w14:textId="77777777" w:rsidTr="00F830C4">
        <w:trPr>
          <w:trHeight w:val="650"/>
          <w:jc w:val="center"/>
        </w:trPr>
        <w:tc>
          <w:tcPr>
            <w:tcW w:w="2977" w:type="dxa"/>
            <w:gridSpan w:val="2"/>
            <w:vAlign w:val="center"/>
          </w:tcPr>
          <w:p w14:paraId="4037C164"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RA associated parameters</w:t>
            </w:r>
          </w:p>
        </w:tc>
        <w:tc>
          <w:tcPr>
            <w:tcW w:w="850" w:type="dxa"/>
            <w:vAlign w:val="center"/>
          </w:tcPr>
          <w:p w14:paraId="3602FD5C"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n</w:t>
            </w:r>
          </w:p>
        </w:tc>
        <w:tc>
          <w:tcPr>
            <w:tcW w:w="1134" w:type="dxa"/>
            <w:vAlign w:val="center"/>
          </w:tcPr>
          <w:p w14:paraId="2BBE78B5"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Mean</w:t>
            </w:r>
          </w:p>
        </w:tc>
        <w:tc>
          <w:tcPr>
            <w:tcW w:w="1276" w:type="dxa"/>
            <w:tcBorders>
              <w:bottom w:val="single" w:sz="4" w:space="0" w:color="auto"/>
            </w:tcBorders>
            <w:vAlign w:val="center"/>
          </w:tcPr>
          <w:p w14:paraId="452979C4"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Standard Deviation</w:t>
            </w:r>
          </w:p>
          <w:p w14:paraId="63312F04"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w:t>
            </w:r>
          </w:p>
        </w:tc>
        <w:tc>
          <w:tcPr>
            <w:tcW w:w="992" w:type="dxa"/>
            <w:tcBorders>
              <w:bottom w:val="single" w:sz="4" w:space="0" w:color="auto"/>
            </w:tcBorders>
            <w:vAlign w:val="center"/>
          </w:tcPr>
          <w:p w14:paraId="70E58BFC"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P-Value</w:t>
            </w:r>
          </w:p>
        </w:tc>
      </w:tr>
      <w:tr w:rsidR="00B9166F" w:rsidRPr="00D03FD0" w14:paraId="01C67D5A" w14:textId="77777777" w:rsidTr="00F830C4">
        <w:trPr>
          <w:trHeight w:val="452"/>
          <w:jc w:val="center"/>
        </w:trPr>
        <w:tc>
          <w:tcPr>
            <w:tcW w:w="1418" w:type="dxa"/>
            <w:vMerge w:val="restart"/>
            <w:tcBorders>
              <w:right w:val="single" w:sz="4" w:space="0" w:color="auto"/>
            </w:tcBorders>
            <w:vAlign w:val="center"/>
          </w:tcPr>
          <w:p w14:paraId="540CCC9A"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Anti-CCP</w:t>
            </w:r>
          </w:p>
          <w:p w14:paraId="0A120238"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ng/ml</w:t>
            </w:r>
          </w:p>
        </w:tc>
        <w:tc>
          <w:tcPr>
            <w:tcW w:w="1559" w:type="dxa"/>
            <w:tcBorders>
              <w:top w:val="single" w:sz="4" w:space="0" w:color="auto"/>
              <w:left w:val="single" w:sz="4" w:space="0" w:color="auto"/>
              <w:bottom w:val="nil"/>
              <w:right w:val="nil"/>
            </w:tcBorders>
            <w:vAlign w:val="center"/>
          </w:tcPr>
          <w:p w14:paraId="6FEBE2C0"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before</w:t>
            </w:r>
          </w:p>
        </w:tc>
        <w:tc>
          <w:tcPr>
            <w:tcW w:w="850" w:type="dxa"/>
            <w:tcBorders>
              <w:top w:val="single" w:sz="4" w:space="0" w:color="auto"/>
              <w:left w:val="nil"/>
              <w:bottom w:val="nil"/>
              <w:right w:val="nil"/>
            </w:tcBorders>
            <w:vAlign w:val="center"/>
          </w:tcPr>
          <w:p w14:paraId="4766D9B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top w:val="single" w:sz="4" w:space="0" w:color="auto"/>
              <w:left w:val="nil"/>
              <w:bottom w:val="nil"/>
              <w:right w:val="nil"/>
            </w:tcBorders>
            <w:vAlign w:val="center"/>
          </w:tcPr>
          <w:p w14:paraId="4FBBD00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531.2</w:t>
            </w:r>
          </w:p>
        </w:tc>
        <w:tc>
          <w:tcPr>
            <w:tcW w:w="1276" w:type="dxa"/>
            <w:tcBorders>
              <w:top w:val="single" w:sz="4" w:space="0" w:color="auto"/>
              <w:left w:val="nil"/>
              <w:bottom w:val="nil"/>
              <w:right w:val="nil"/>
            </w:tcBorders>
            <w:vAlign w:val="center"/>
          </w:tcPr>
          <w:p w14:paraId="73293286"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91.4</w:t>
            </w:r>
          </w:p>
        </w:tc>
        <w:tc>
          <w:tcPr>
            <w:tcW w:w="992" w:type="dxa"/>
            <w:vMerge w:val="restart"/>
            <w:tcBorders>
              <w:left w:val="nil"/>
              <w:bottom w:val="nil"/>
            </w:tcBorders>
            <w:vAlign w:val="center"/>
          </w:tcPr>
          <w:p w14:paraId="0E843A8A"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0.001</w:t>
            </w:r>
            <w:r w:rsidRPr="00D03FD0">
              <w:rPr>
                <w:rFonts w:cstheme="majorBidi"/>
                <w:color w:val="auto"/>
                <w:sz w:val="20"/>
                <w:szCs w:val="20"/>
                <w:vertAlign w:val="superscript"/>
              </w:rPr>
              <w:t>**</w:t>
            </w:r>
          </w:p>
        </w:tc>
      </w:tr>
      <w:tr w:rsidR="00B9166F" w:rsidRPr="00D03FD0" w14:paraId="17BCE3A4" w14:textId="77777777" w:rsidTr="00F830C4">
        <w:trPr>
          <w:trHeight w:val="80"/>
          <w:jc w:val="center"/>
        </w:trPr>
        <w:tc>
          <w:tcPr>
            <w:tcW w:w="1418" w:type="dxa"/>
            <w:vMerge/>
            <w:tcBorders>
              <w:right w:val="single" w:sz="4" w:space="0" w:color="auto"/>
            </w:tcBorders>
            <w:vAlign w:val="center"/>
          </w:tcPr>
          <w:p w14:paraId="36C3A888" w14:textId="77777777" w:rsidR="00B9166F" w:rsidRPr="00D03FD0" w:rsidRDefault="00B9166F" w:rsidP="00A72CDE">
            <w:pPr>
              <w:jc w:val="center"/>
              <w:rPr>
                <w:rFonts w:cstheme="majorBidi"/>
                <w:b/>
                <w:bCs/>
                <w:color w:val="auto"/>
                <w:sz w:val="20"/>
                <w:szCs w:val="20"/>
              </w:rPr>
            </w:pPr>
          </w:p>
        </w:tc>
        <w:tc>
          <w:tcPr>
            <w:tcW w:w="1559" w:type="dxa"/>
            <w:tcBorders>
              <w:top w:val="nil"/>
              <w:left w:val="single" w:sz="4" w:space="0" w:color="auto"/>
              <w:bottom w:val="single" w:sz="4" w:space="0" w:color="auto"/>
              <w:right w:val="nil"/>
            </w:tcBorders>
            <w:vAlign w:val="center"/>
          </w:tcPr>
          <w:p w14:paraId="0B254426"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after</w:t>
            </w:r>
          </w:p>
        </w:tc>
        <w:tc>
          <w:tcPr>
            <w:tcW w:w="850" w:type="dxa"/>
            <w:tcBorders>
              <w:top w:val="nil"/>
              <w:left w:val="nil"/>
              <w:bottom w:val="single" w:sz="4" w:space="0" w:color="auto"/>
              <w:right w:val="nil"/>
            </w:tcBorders>
            <w:vAlign w:val="center"/>
          </w:tcPr>
          <w:p w14:paraId="2FB42F03"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bottom w:val="single" w:sz="4" w:space="0" w:color="auto"/>
              <w:right w:val="nil"/>
            </w:tcBorders>
            <w:vAlign w:val="center"/>
          </w:tcPr>
          <w:p w14:paraId="2E7C4B53"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273.4</w:t>
            </w:r>
          </w:p>
        </w:tc>
        <w:tc>
          <w:tcPr>
            <w:tcW w:w="1276" w:type="dxa"/>
            <w:tcBorders>
              <w:top w:val="nil"/>
              <w:left w:val="nil"/>
              <w:bottom w:val="single" w:sz="4" w:space="0" w:color="auto"/>
              <w:right w:val="nil"/>
            </w:tcBorders>
            <w:vAlign w:val="center"/>
          </w:tcPr>
          <w:p w14:paraId="716282B2"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93.5</w:t>
            </w:r>
          </w:p>
        </w:tc>
        <w:tc>
          <w:tcPr>
            <w:tcW w:w="992" w:type="dxa"/>
            <w:vMerge/>
            <w:tcBorders>
              <w:top w:val="nil"/>
              <w:left w:val="nil"/>
              <w:bottom w:val="single" w:sz="4" w:space="0" w:color="auto"/>
            </w:tcBorders>
            <w:vAlign w:val="center"/>
          </w:tcPr>
          <w:p w14:paraId="6B3CD4CE" w14:textId="77777777" w:rsidR="00B9166F" w:rsidRPr="00D03FD0" w:rsidRDefault="00B9166F" w:rsidP="00A72CDE">
            <w:pPr>
              <w:jc w:val="center"/>
              <w:rPr>
                <w:rFonts w:cstheme="majorBidi"/>
                <w:color w:val="auto"/>
                <w:sz w:val="20"/>
                <w:szCs w:val="20"/>
              </w:rPr>
            </w:pPr>
          </w:p>
        </w:tc>
      </w:tr>
      <w:tr w:rsidR="00B9166F" w:rsidRPr="00D03FD0" w14:paraId="0E848A31" w14:textId="77777777" w:rsidTr="00F830C4">
        <w:trPr>
          <w:trHeight w:val="420"/>
          <w:jc w:val="center"/>
        </w:trPr>
        <w:tc>
          <w:tcPr>
            <w:tcW w:w="1418" w:type="dxa"/>
            <w:vMerge/>
            <w:vAlign w:val="center"/>
          </w:tcPr>
          <w:p w14:paraId="4475C758" w14:textId="77777777" w:rsidR="00B9166F" w:rsidRPr="00D03FD0" w:rsidRDefault="00B9166F" w:rsidP="00A72CDE">
            <w:pPr>
              <w:jc w:val="center"/>
              <w:rPr>
                <w:rFonts w:cstheme="majorBidi"/>
                <w:b/>
                <w:bCs/>
                <w:color w:val="auto"/>
                <w:sz w:val="20"/>
                <w:szCs w:val="20"/>
              </w:rPr>
            </w:pPr>
          </w:p>
        </w:tc>
        <w:tc>
          <w:tcPr>
            <w:tcW w:w="1559" w:type="dxa"/>
            <w:tcBorders>
              <w:top w:val="single" w:sz="4" w:space="0" w:color="auto"/>
              <w:bottom w:val="nil"/>
              <w:right w:val="nil"/>
            </w:tcBorders>
            <w:vAlign w:val="center"/>
          </w:tcPr>
          <w:p w14:paraId="756D60B8"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before</w:t>
            </w:r>
          </w:p>
        </w:tc>
        <w:tc>
          <w:tcPr>
            <w:tcW w:w="850" w:type="dxa"/>
            <w:tcBorders>
              <w:top w:val="single" w:sz="4" w:space="0" w:color="auto"/>
              <w:left w:val="nil"/>
              <w:bottom w:val="nil"/>
              <w:right w:val="nil"/>
            </w:tcBorders>
            <w:vAlign w:val="center"/>
          </w:tcPr>
          <w:p w14:paraId="00246650"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top w:val="single" w:sz="4" w:space="0" w:color="auto"/>
              <w:left w:val="nil"/>
              <w:bottom w:val="nil"/>
              <w:right w:val="nil"/>
            </w:tcBorders>
            <w:vAlign w:val="center"/>
          </w:tcPr>
          <w:p w14:paraId="0F75BB18"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531.2</w:t>
            </w:r>
          </w:p>
        </w:tc>
        <w:tc>
          <w:tcPr>
            <w:tcW w:w="1276" w:type="dxa"/>
            <w:tcBorders>
              <w:top w:val="single" w:sz="4" w:space="0" w:color="auto"/>
              <w:left w:val="nil"/>
              <w:bottom w:val="nil"/>
              <w:right w:val="nil"/>
            </w:tcBorders>
            <w:vAlign w:val="center"/>
          </w:tcPr>
          <w:p w14:paraId="32974BC2"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163.0</w:t>
            </w:r>
          </w:p>
        </w:tc>
        <w:tc>
          <w:tcPr>
            <w:tcW w:w="992" w:type="dxa"/>
            <w:vMerge w:val="restart"/>
            <w:tcBorders>
              <w:left w:val="nil"/>
              <w:bottom w:val="nil"/>
            </w:tcBorders>
            <w:vAlign w:val="center"/>
          </w:tcPr>
          <w:p w14:paraId="7142109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0.01</w:t>
            </w:r>
            <w:r w:rsidRPr="00D03FD0">
              <w:rPr>
                <w:rFonts w:cstheme="majorBidi"/>
                <w:color w:val="auto"/>
                <w:sz w:val="20"/>
                <w:szCs w:val="20"/>
                <w:vertAlign w:val="superscript"/>
              </w:rPr>
              <w:t>**</w:t>
            </w:r>
          </w:p>
        </w:tc>
      </w:tr>
      <w:tr w:rsidR="00B9166F" w:rsidRPr="00D03FD0" w14:paraId="21EF3C47" w14:textId="77777777" w:rsidTr="00F830C4">
        <w:trPr>
          <w:trHeight w:val="80"/>
          <w:jc w:val="center"/>
        </w:trPr>
        <w:tc>
          <w:tcPr>
            <w:tcW w:w="1418" w:type="dxa"/>
            <w:vMerge/>
            <w:vAlign w:val="center"/>
          </w:tcPr>
          <w:p w14:paraId="0DB638F8" w14:textId="77777777" w:rsidR="00B9166F" w:rsidRPr="00D03FD0" w:rsidRDefault="00B9166F" w:rsidP="00A72CDE">
            <w:pPr>
              <w:jc w:val="center"/>
              <w:rPr>
                <w:rFonts w:cstheme="majorBidi"/>
                <w:b/>
                <w:bCs/>
                <w:color w:val="auto"/>
                <w:sz w:val="20"/>
                <w:szCs w:val="20"/>
              </w:rPr>
            </w:pPr>
          </w:p>
        </w:tc>
        <w:tc>
          <w:tcPr>
            <w:tcW w:w="1559" w:type="dxa"/>
            <w:tcBorders>
              <w:top w:val="nil"/>
              <w:bottom w:val="single" w:sz="4" w:space="0" w:color="auto"/>
              <w:right w:val="nil"/>
            </w:tcBorders>
            <w:vAlign w:val="center"/>
          </w:tcPr>
          <w:p w14:paraId="22B43A4B"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control</w:t>
            </w:r>
          </w:p>
        </w:tc>
        <w:tc>
          <w:tcPr>
            <w:tcW w:w="850" w:type="dxa"/>
            <w:tcBorders>
              <w:top w:val="nil"/>
              <w:left w:val="nil"/>
              <w:bottom w:val="single" w:sz="4" w:space="0" w:color="auto"/>
              <w:right w:val="nil"/>
            </w:tcBorders>
            <w:vAlign w:val="center"/>
          </w:tcPr>
          <w:p w14:paraId="772D0B8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bottom w:val="single" w:sz="4" w:space="0" w:color="auto"/>
              <w:right w:val="nil"/>
            </w:tcBorders>
            <w:vAlign w:val="center"/>
          </w:tcPr>
          <w:p w14:paraId="1621759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91.2</w:t>
            </w:r>
          </w:p>
        </w:tc>
        <w:tc>
          <w:tcPr>
            <w:tcW w:w="1276" w:type="dxa"/>
            <w:tcBorders>
              <w:top w:val="nil"/>
              <w:left w:val="nil"/>
              <w:bottom w:val="single" w:sz="4" w:space="0" w:color="auto"/>
              <w:right w:val="nil"/>
            </w:tcBorders>
            <w:vAlign w:val="center"/>
          </w:tcPr>
          <w:p w14:paraId="1CAA143A"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11.3</w:t>
            </w:r>
          </w:p>
        </w:tc>
        <w:tc>
          <w:tcPr>
            <w:tcW w:w="992" w:type="dxa"/>
            <w:vMerge/>
            <w:tcBorders>
              <w:top w:val="nil"/>
              <w:left w:val="nil"/>
              <w:bottom w:val="single" w:sz="4" w:space="0" w:color="auto"/>
            </w:tcBorders>
            <w:vAlign w:val="center"/>
          </w:tcPr>
          <w:p w14:paraId="43D6C924" w14:textId="77777777" w:rsidR="00B9166F" w:rsidRPr="00D03FD0" w:rsidRDefault="00B9166F" w:rsidP="00A72CDE">
            <w:pPr>
              <w:jc w:val="center"/>
              <w:rPr>
                <w:rFonts w:cstheme="majorBidi"/>
                <w:color w:val="auto"/>
                <w:sz w:val="20"/>
                <w:szCs w:val="20"/>
              </w:rPr>
            </w:pPr>
          </w:p>
        </w:tc>
      </w:tr>
      <w:tr w:rsidR="00B9166F" w:rsidRPr="00D03FD0" w14:paraId="32BA45D7" w14:textId="77777777" w:rsidTr="00F830C4">
        <w:trPr>
          <w:trHeight w:val="331"/>
          <w:jc w:val="center"/>
        </w:trPr>
        <w:tc>
          <w:tcPr>
            <w:tcW w:w="1418" w:type="dxa"/>
            <w:vMerge/>
            <w:vAlign w:val="center"/>
          </w:tcPr>
          <w:p w14:paraId="71E82D3B" w14:textId="77777777" w:rsidR="00B9166F" w:rsidRPr="00D03FD0" w:rsidRDefault="00B9166F" w:rsidP="00A72CDE">
            <w:pPr>
              <w:jc w:val="center"/>
              <w:rPr>
                <w:rFonts w:cstheme="majorBidi"/>
                <w:b/>
                <w:bCs/>
                <w:color w:val="auto"/>
                <w:sz w:val="20"/>
                <w:szCs w:val="20"/>
              </w:rPr>
            </w:pPr>
          </w:p>
        </w:tc>
        <w:tc>
          <w:tcPr>
            <w:tcW w:w="1559" w:type="dxa"/>
            <w:tcBorders>
              <w:bottom w:val="nil"/>
              <w:right w:val="nil"/>
            </w:tcBorders>
            <w:vAlign w:val="center"/>
          </w:tcPr>
          <w:p w14:paraId="731C2E89"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after</w:t>
            </w:r>
          </w:p>
        </w:tc>
        <w:tc>
          <w:tcPr>
            <w:tcW w:w="850" w:type="dxa"/>
            <w:tcBorders>
              <w:left w:val="nil"/>
              <w:bottom w:val="nil"/>
              <w:right w:val="nil"/>
            </w:tcBorders>
            <w:vAlign w:val="center"/>
          </w:tcPr>
          <w:p w14:paraId="1B323296"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left w:val="nil"/>
              <w:bottom w:val="nil"/>
              <w:right w:val="nil"/>
            </w:tcBorders>
            <w:vAlign w:val="center"/>
          </w:tcPr>
          <w:p w14:paraId="6FCB5ED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273.4</w:t>
            </w:r>
          </w:p>
        </w:tc>
        <w:tc>
          <w:tcPr>
            <w:tcW w:w="1276" w:type="dxa"/>
            <w:tcBorders>
              <w:left w:val="nil"/>
              <w:bottom w:val="nil"/>
              <w:right w:val="nil"/>
            </w:tcBorders>
            <w:vAlign w:val="center"/>
          </w:tcPr>
          <w:p w14:paraId="68030ADE"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93.5</w:t>
            </w:r>
          </w:p>
        </w:tc>
        <w:tc>
          <w:tcPr>
            <w:tcW w:w="992" w:type="dxa"/>
            <w:vMerge w:val="restart"/>
            <w:tcBorders>
              <w:left w:val="nil"/>
              <w:bottom w:val="nil"/>
            </w:tcBorders>
            <w:vAlign w:val="center"/>
          </w:tcPr>
          <w:p w14:paraId="57C4C4A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0.01</w:t>
            </w:r>
            <w:r w:rsidRPr="00D03FD0">
              <w:rPr>
                <w:rFonts w:cstheme="majorBidi"/>
                <w:color w:val="auto"/>
                <w:sz w:val="20"/>
                <w:szCs w:val="20"/>
                <w:vertAlign w:val="superscript"/>
              </w:rPr>
              <w:t>**</w:t>
            </w:r>
          </w:p>
        </w:tc>
      </w:tr>
      <w:tr w:rsidR="00B9166F" w:rsidRPr="00D03FD0" w14:paraId="0944DFEC" w14:textId="77777777" w:rsidTr="00F830C4">
        <w:trPr>
          <w:trHeight w:val="80"/>
          <w:jc w:val="center"/>
        </w:trPr>
        <w:tc>
          <w:tcPr>
            <w:tcW w:w="1418" w:type="dxa"/>
            <w:vMerge/>
            <w:vAlign w:val="center"/>
          </w:tcPr>
          <w:p w14:paraId="2F1621E6" w14:textId="77777777" w:rsidR="00B9166F" w:rsidRPr="00D03FD0" w:rsidRDefault="00B9166F" w:rsidP="00A72CDE">
            <w:pPr>
              <w:jc w:val="center"/>
              <w:rPr>
                <w:rFonts w:cstheme="majorBidi"/>
                <w:b/>
                <w:bCs/>
                <w:color w:val="auto"/>
                <w:sz w:val="20"/>
                <w:szCs w:val="20"/>
              </w:rPr>
            </w:pPr>
          </w:p>
        </w:tc>
        <w:tc>
          <w:tcPr>
            <w:tcW w:w="1559" w:type="dxa"/>
            <w:tcBorders>
              <w:top w:val="nil"/>
              <w:bottom w:val="single" w:sz="4" w:space="0" w:color="auto"/>
              <w:right w:val="nil"/>
            </w:tcBorders>
            <w:vAlign w:val="center"/>
          </w:tcPr>
          <w:p w14:paraId="7F1F3165"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control</w:t>
            </w:r>
          </w:p>
        </w:tc>
        <w:tc>
          <w:tcPr>
            <w:tcW w:w="850" w:type="dxa"/>
            <w:tcBorders>
              <w:top w:val="nil"/>
              <w:left w:val="nil"/>
              <w:bottom w:val="single" w:sz="4" w:space="0" w:color="auto"/>
              <w:right w:val="nil"/>
            </w:tcBorders>
            <w:vAlign w:val="center"/>
          </w:tcPr>
          <w:p w14:paraId="6AB6DC69"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bottom w:val="single" w:sz="4" w:space="0" w:color="auto"/>
              <w:right w:val="nil"/>
            </w:tcBorders>
            <w:vAlign w:val="center"/>
          </w:tcPr>
          <w:p w14:paraId="04329791"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91.2</w:t>
            </w:r>
          </w:p>
        </w:tc>
        <w:tc>
          <w:tcPr>
            <w:tcW w:w="1276" w:type="dxa"/>
            <w:tcBorders>
              <w:top w:val="nil"/>
              <w:left w:val="nil"/>
              <w:bottom w:val="single" w:sz="4" w:space="0" w:color="auto"/>
              <w:right w:val="nil"/>
            </w:tcBorders>
            <w:vAlign w:val="center"/>
          </w:tcPr>
          <w:p w14:paraId="23ED4CFA"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11.3</w:t>
            </w:r>
          </w:p>
        </w:tc>
        <w:tc>
          <w:tcPr>
            <w:tcW w:w="992" w:type="dxa"/>
            <w:vMerge/>
            <w:tcBorders>
              <w:top w:val="nil"/>
              <w:left w:val="nil"/>
              <w:bottom w:val="single" w:sz="4" w:space="0" w:color="auto"/>
            </w:tcBorders>
            <w:vAlign w:val="center"/>
          </w:tcPr>
          <w:p w14:paraId="61AEC83E" w14:textId="77777777" w:rsidR="00B9166F" w:rsidRPr="00D03FD0" w:rsidRDefault="00B9166F" w:rsidP="00A72CDE">
            <w:pPr>
              <w:jc w:val="center"/>
              <w:rPr>
                <w:rFonts w:cstheme="majorBidi"/>
                <w:color w:val="auto"/>
                <w:sz w:val="20"/>
                <w:szCs w:val="20"/>
              </w:rPr>
            </w:pPr>
          </w:p>
        </w:tc>
      </w:tr>
      <w:tr w:rsidR="00B9166F" w:rsidRPr="00D03FD0" w14:paraId="74C90C25" w14:textId="77777777" w:rsidTr="00F830C4">
        <w:trPr>
          <w:trHeight w:val="257"/>
          <w:jc w:val="center"/>
        </w:trPr>
        <w:tc>
          <w:tcPr>
            <w:tcW w:w="1418" w:type="dxa"/>
            <w:vMerge w:val="restart"/>
            <w:vAlign w:val="center"/>
          </w:tcPr>
          <w:p w14:paraId="324F1BB4"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TNF-α</w:t>
            </w:r>
          </w:p>
          <w:p w14:paraId="1FE6A05C"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ng/ml</w:t>
            </w:r>
          </w:p>
        </w:tc>
        <w:tc>
          <w:tcPr>
            <w:tcW w:w="1559" w:type="dxa"/>
            <w:tcBorders>
              <w:bottom w:val="nil"/>
              <w:right w:val="nil"/>
            </w:tcBorders>
            <w:vAlign w:val="center"/>
          </w:tcPr>
          <w:p w14:paraId="6DA2A656"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before</w:t>
            </w:r>
          </w:p>
        </w:tc>
        <w:tc>
          <w:tcPr>
            <w:tcW w:w="850" w:type="dxa"/>
            <w:tcBorders>
              <w:left w:val="nil"/>
              <w:bottom w:val="nil"/>
              <w:right w:val="nil"/>
            </w:tcBorders>
            <w:vAlign w:val="center"/>
          </w:tcPr>
          <w:p w14:paraId="13D424E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left w:val="nil"/>
              <w:bottom w:val="nil"/>
              <w:right w:val="nil"/>
            </w:tcBorders>
            <w:vAlign w:val="center"/>
          </w:tcPr>
          <w:p w14:paraId="4C99A9A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849.0</w:t>
            </w:r>
          </w:p>
        </w:tc>
        <w:tc>
          <w:tcPr>
            <w:tcW w:w="1276" w:type="dxa"/>
            <w:tcBorders>
              <w:left w:val="nil"/>
              <w:bottom w:val="nil"/>
              <w:right w:val="nil"/>
            </w:tcBorders>
            <w:vAlign w:val="center"/>
          </w:tcPr>
          <w:p w14:paraId="3E0F75A4"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24.0</w:t>
            </w:r>
          </w:p>
        </w:tc>
        <w:tc>
          <w:tcPr>
            <w:tcW w:w="992" w:type="dxa"/>
            <w:vMerge w:val="restart"/>
            <w:tcBorders>
              <w:left w:val="nil"/>
              <w:bottom w:val="nil"/>
            </w:tcBorders>
            <w:vAlign w:val="center"/>
          </w:tcPr>
          <w:p w14:paraId="7220F0F6"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0.01</w:t>
            </w:r>
            <w:r w:rsidRPr="00D03FD0">
              <w:rPr>
                <w:rFonts w:cstheme="majorBidi"/>
                <w:color w:val="auto"/>
                <w:sz w:val="20"/>
                <w:szCs w:val="20"/>
                <w:vertAlign w:val="superscript"/>
              </w:rPr>
              <w:t>**</w:t>
            </w:r>
          </w:p>
        </w:tc>
      </w:tr>
      <w:tr w:rsidR="00B9166F" w:rsidRPr="00D03FD0" w14:paraId="49240F83" w14:textId="77777777" w:rsidTr="00F830C4">
        <w:trPr>
          <w:trHeight w:val="80"/>
          <w:jc w:val="center"/>
        </w:trPr>
        <w:tc>
          <w:tcPr>
            <w:tcW w:w="1418" w:type="dxa"/>
            <w:vMerge/>
            <w:vAlign w:val="center"/>
          </w:tcPr>
          <w:p w14:paraId="5FE3CE2B" w14:textId="77777777" w:rsidR="00B9166F" w:rsidRPr="00D03FD0" w:rsidRDefault="00B9166F" w:rsidP="00A72CDE">
            <w:pPr>
              <w:jc w:val="center"/>
              <w:rPr>
                <w:rFonts w:cstheme="majorBidi"/>
                <w:b/>
                <w:bCs/>
                <w:color w:val="auto"/>
                <w:sz w:val="20"/>
                <w:szCs w:val="20"/>
              </w:rPr>
            </w:pPr>
          </w:p>
        </w:tc>
        <w:tc>
          <w:tcPr>
            <w:tcW w:w="1559" w:type="dxa"/>
            <w:tcBorders>
              <w:top w:val="nil"/>
              <w:bottom w:val="single" w:sz="4" w:space="0" w:color="auto"/>
              <w:right w:val="nil"/>
            </w:tcBorders>
            <w:vAlign w:val="center"/>
          </w:tcPr>
          <w:p w14:paraId="416922A9"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after</w:t>
            </w:r>
          </w:p>
        </w:tc>
        <w:tc>
          <w:tcPr>
            <w:tcW w:w="850" w:type="dxa"/>
            <w:tcBorders>
              <w:top w:val="nil"/>
              <w:left w:val="nil"/>
              <w:bottom w:val="single" w:sz="4" w:space="0" w:color="auto"/>
              <w:right w:val="nil"/>
            </w:tcBorders>
            <w:vAlign w:val="center"/>
          </w:tcPr>
          <w:p w14:paraId="79637B77"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bottom w:val="single" w:sz="4" w:space="0" w:color="auto"/>
              <w:right w:val="nil"/>
            </w:tcBorders>
            <w:vAlign w:val="center"/>
          </w:tcPr>
          <w:p w14:paraId="78848EC5"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120.4</w:t>
            </w:r>
          </w:p>
        </w:tc>
        <w:tc>
          <w:tcPr>
            <w:tcW w:w="1276" w:type="dxa"/>
            <w:tcBorders>
              <w:top w:val="nil"/>
              <w:left w:val="nil"/>
              <w:bottom w:val="single" w:sz="4" w:space="0" w:color="auto"/>
              <w:right w:val="nil"/>
            </w:tcBorders>
            <w:vAlign w:val="center"/>
          </w:tcPr>
          <w:p w14:paraId="1066163A"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8.0</w:t>
            </w:r>
          </w:p>
        </w:tc>
        <w:tc>
          <w:tcPr>
            <w:tcW w:w="992" w:type="dxa"/>
            <w:vMerge/>
            <w:tcBorders>
              <w:top w:val="nil"/>
              <w:left w:val="nil"/>
              <w:bottom w:val="single" w:sz="4" w:space="0" w:color="auto"/>
            </w:tcBorders>
            <w:vAlign w:val="center"/>
          </w:tcPr>
          <w:p w14:paraId="376F6FE2" w14:textId="77777777" w:rsidR="00B9166F" w:rsidRPr="00D03FD0" w:rsidRDefault="00B9166F" w:rsidP="00A72CDE">
            <w:pPr>
              <w:jc w:val="center"/>
              <w:rPr>
                <w:rFonts w:cstheme="majorBidi"/>
                <w:color w:val="auto"/>
                <w:sz w:val="20"/>
                <w:szCs w:val="20"/>
              </w:rPr>
            </w:pPr>
          </w:p>
        </w:tc>
      </w:tr>
      <w:tr w:rsidR="00B9166F" w:rsidRPr="00D03FD0" w14:paraId="6D81A6A2" w14:textId="77777777" w:rsidTr="00F830C4">
        <w:trPr>
          <w:trHeight w:val="325"/>
          <w:jc w:val="center"/>
        </w:trPr>
        <w:tc>
          <w:tcPr>
            <w:tcW w:w="1418" w:type="dxa"/>
            <w:vMerge/>
            <w:vAlign w:val="center"/>
          </w:tcPr>
          <w:p w14:paraId="0773E956" w14:textId="77777777" w:rsidR="00B9166F" w:rsidRPr="00D03FD0" w:rsidRDefault="00B9166F" w:rsidP="00A72CDE">
            <w:pPr>
              <w:jc w:val="center"/>
              <w:rPr>
                <w:rFonts w:cstheme="majorBidi"/>
                <w:b/>
                <w:bCs/>
                <w:color w:val="auto"/>
                <w:sz w:val="20"/>
                <w:szCs w:val="20"/>
              </w:rPr>
            </w:pPr>
          </w:p>
        </w:tc>
        <w:tc>
          <w:tcPr>
            <w:tcW w:w="1559" w:type="dxa"/>
            <w:tcBorders>
              <w:bottom w:val="nil"/>
              <w:right w:val="nil"/>
            </w:tcBorders>
            <w:vAlign w:val="center"/>
          </w:tcPr>
          <w:p w14:paraId="04CB4C6E"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before</w:t>
            </w:r>
          </w:p>
        </w:tc>
        <w:tc>
          <w:tcPr>
            <w:tcW w:w="850" w:type="dxa"/>
            <w:tcBorders>
              <w:left w:val="nil"/>
              <w:bottom w:val="nil"/>
              <w:right w:val="nil"/>
            </w:tcBorders>
            <w:vAlign w:val="center"/>
          </w:tcPr>
          <w:p w14:paraId="063FD6AE"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left w:val="nil"/>
              <w:bottom w:val="nil"/>
              <w:right w:val="nil"/>
            </w:tcBorders>
            <w:vAlign w:val="center"/>
          </w:tcPr>
          <w:p w14:paraId="5A1B85F6"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849.0</w:t>
            </w:r>
          </w:p>
        </w:tc>
        <w:tc>
          <w:tcPr>
            <w:tcW w:w="1276" w:type="dxa"/>
            <w:tcBorders>
              <w:left w:val="nil"/>
              <w:bottom w:val="nil"/>
              <w:right w:val="nil"/>
            </w:tcBorders>
            <w:vAlign w:val="center"/>
          </w:tcPr>
          <w:p w14:paraId="6CEF0369"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24.8</w:t>
            </w:r>
          </w:p>
        </w:tc>
        <w:tc>
          <w:tcPr>
            <w:tcW w:w="992" w:type="dxa"/>
            <w:vMerge w:val="restart"/>
            <w:tcBorders>
              <w:left w:val="nil"/>
              <w:bottom w:val="nil"/>
            </w:tcBorders>
            <w:vAlign w:val="center"/>
          </w:tcPr>
          <w:p w14:paraId="2862B334"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0.01</w:t>
            </w:r>
            <w:r w:rsidRPr="00D03FD0">
              <w:rPr>
                <w:rFonts w:cstheme="majorBidi"/>
                <w:color w:val="auto"/>
                <w:sz w:val="20"/>
                <w:szCs w:val="20"/>
                <w:vertAlign w:val="superscript"/>
              </w:rPr>
              <w:t>**</w:t>
            </w:r>
          </w:p>
        </w:tc>
      </w:tr>
      <w:tr w:rsidR="00B9166F" w:rsidRPr="00D03FD0" w14:paraId="4AB48FDD" w14:textId="77777777" w:rsidTr="00F830C4">
        <w:trPr>
          <w:trHeight w:val="80"/>
          <w:jc w:val="center"/>
        </w:trPr>
        <w:tc>
          <w:tcPr>
            <w:tcW w:w="1418" w:type="dxa"/>
            <w:vMerge/>
            <w:vAlign w:val="center"/>
          </w:tcPr>
          <w:p w14:paraId="21E27F67" w14:textId="77777777" w:rsidR="00B9166F" w:rsidRPr="00D03FD0" w:rsidRDefault="00B9166F" w:rsidP="00A72CDE">
            <w:pPr>
              <w:jc w:val="center"/>
              <w:rPr>
                <w:rFonts w:cstheme="majorBidi"/>
                <w:b/>
                <w:bCs/>
                <w:color w:val="auto"/>
                <w:sz w:val="20"/>
                <w:szCs w:val="20"/>
              </w:rPr>
            </w:pPr>
          </w:p>
        </w:tc>
        <w:tc>
          <w:tcPr>
            <w:tcW w:w="1559" w:type="dxa"/>
            <w:tcBorders>
              <w:top w:val="nil"/>
              <w:bottom w:val="single" w:sz="4" w:space="0" w:color="auto"/>
              <w:right w:val="nil"/>
            </w:tcBorders>
            <w:vAlign w:val="center"/>
          </w:tcPr>
          <w:p w14:paraId="093E5149"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control</w:t>
            </w:r>
          </w:p>
        </w:tc>
        <w:tc>
          <w:tcPr>
            <w:tcW w:w="850" w:type="dxa"/>
            <w:tcBorders>
              <w:top w:val="nil"/>
              <w:left w:val="nil"/>
              <w:bottom w:val="single" w:sz="4" w:space="0" w:color="auto"/>
              <w:right w:val="nil"/>
            </w:tcBorders>
            <w:vAlign w:val="center"/>
          </w:tcPr>
          <w:p w14:paraId="36C12035"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bottom w:val="single" w:sz="4" w:space="0" w:color="auto"/>
              <w:right w:val="nil"/>
            </w:tcBorders>
            <w:vAlign w:val="center"/>
          </w:tcPr>
          <w:p w14:paraId="29FD5E0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64.3</w:t>
            </w:r>
          </w:p>
        </w:tc>
        <w:tc>
          <w:tcPr>
            <w:tcW w:w="1276" w:type="dxa"/>
            <w:tcBorders>
              <w:top w:val="nil"/>
              <w:left w:val="nil"/>
              <w:bottom w:val="single" w:sz="4" w:space="0" w:color="auto"/>
              <w:right w:val="nil"/>
            </w:tcBorders>
            <w:vAlign w:val="center"/>
          </w:tcPr>
          <w:p w14:paraId="780E1FE4"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7.3</w:t>
            </w:r>
          </w:p>
        </w:tc>
        <w:tc>
          <w:tcPr>
            <w:tcW w:w="992" w:type="dxa"/>
            <w:vMerge/>
            <w:tcBorders>
              <w:top w:val="nil"/>
              <w:left w:val="nil"/>
              <w:bottom w:val="single" w:sz="4" w:space="0" w:color="auto"/>
            </w:tcBorders>
            <w:vAlign w:val="center"/>
          </w:tcPr>
          <w:p w14:paraId="50EA61BE" w14:textId="77777777" w:rsidR="00B9166F" w:rsidRPr="00D03FD0" w:rsidRDefault="00B9166F" w:rsidP="00A72CDE">
            <w:pPr>
              <w:jc w:val="center"/>
              <w:rPr>
                <w:rFonts w:cstheme="majorBidi"/>
                <w:color w:val="auto"/>
                <w:sz w:val="20"/>
                <w:szCs w:val="20"/>
              </w:rPr>
            </w:pPr>
          </w:p>
        </w:tc>
      </w:tr>
      <w:tr w:rsidR="00B9166F" w:rsidRPr="00D03FD0" w14:paraId="06A52D8A" w14:textId="77777777" w:rsidTr="00F830C4">
        <w:trPr>
          <w:trHeight w:val="250"/>
          <w:jc w:val="center"/>
        </w:trPr>
        <w:tc>
          <w:tcPr>
            <w:tcW w:w="1418" w:type="dxa"/>
            <w:vMerge/>
            <w:vAlign w:val="center"/>
          </w:tcPr>
          <w:p w14:paraId="0BFFE2F6" w14:textId="77777777" w:rsidR="00B9166F" w:rsidRPr="00D03FD0" w:rsidRDefault="00B9166F" w:rsidP="00A72CDE">
            <w:pPr>
              <w:jc w:val="center"/>
              <w:rPr>
                <w:rFonts w:cstheme="majorBidi"/>
                <w:b/>
                <w:bCs/>
                <w:color w:val="auto"/>
                <w:sz w:val="20"/>
                <w:szCs w:val="20"/>
              </w:rPr>
            </w:pPr>
          </w:p>
        </w:tc>
        <w:tc>
          <w:tcPr>
            <w:tcW w:w="1559" w:type="dxa"/>
            <w:tcBorders>
              <w:bottom w:val="nil"/>
              <w:right w:val="nil"/>
            </w:tcBorders>
            <w:vAlign w:val="center"/>
          </w:tcPr>
          <w:p w14:paraId="72B2AA64"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after</w:t>
            </w:r>
          </w:p>
        </w:tc>
        <w:tc>
          <w:tcPr>
            <w:tcW w:w="850" w:type="dxa"/>
            <w:tcBorders>
              <w:left w:val="nil"/>
              <w:bottom w:val="nil"/>
              <w:right w:val="nil"/>
            </w:tcBorders>
            <w:vAlign w:val="center"/>
          </w:tcPr>
          <w:p w14:paraId="4B3FB2EB"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left w:val="nil"/>
              <w:bottom w:val="nil"/>
              <w:right w:val="nil"/>
            </w:tcBorders>
            <w:vAlign w:val="center"/>
          </w:tcPr>
          <w:p w14:paraId="65BFAD1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120.4</w:t>
            </w:r>
          </w:p>
        </w:tc>
        <w:tc>
          <w:tcPr>
            <w:tcW w:w="1276" w:type="dxa"/>
            <w:tcBorders>
              <w:left w:val="nil"/>
              <w:bottom w:val="nil"/>
              <w:right w:val="nil"/>
            </w:tcBorders>
            <w:vAlign w:val="center"/>
          </w:tcPr>
          <w:p w14:paraId="0561709B"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8.0</w:t>
            </w:r>
          </w:p>
        </w:tc>
        <w:tc>
          <w:tcPr>
            <w:tcW w:w="992" w:type="dxa"/>
            <w:vMerge w:val="restart"/>
            <w:tcBorders>
              <w:left w:val="nil"/>
              <w:bottom w:val="nil"/>
            </w:tcBorders>
            <w:vAlign w:val="center"/>
          </w:tcPr>
          <w:p w14:paraId="0629A4D5"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0.01</w:t>
            </w:r>
            <w:r w:rsidRPr="00D03FD0">
              <w:rPr>
                <w:rFonts w:cstheme="majorBidi"/>
                <w:color w:val="auto"/>
                <w:sz w:val="20"/>
                <w:szCs w:val="20"/>
                <w:vertAlign w:val="superscript"/>
              </w:rPr>
              <w:t>**</w:t>
            </w:r>
          </w:p>
        </w:tc>
      </w:tr>
      <w:tr w:rsidR="00B9166F" w:rsidRPr="00D03FD0" w14:paraId="0F58D8C7" w14:textId="77777777" w:rsidTr="00F830C4">
        <w:trPr>
          <w:trHeight w:val="80"/>
          <w:jc w:val="center"/>
        </w:trPr>
        <w:tc>
          <w:tcPr>
            <w:tcW w:w="1418" w:type="dxa"/>
            <w:vMerge/>
            <w:vAlign w:val="center"/>
          </w:tcPr>
          <w:p w14:paraId="09D0B66B" w14:textId="77777777" w:rsidR="00B9166F" w:rsidRPr="00D03FD0" w:rsidRDefault="00B9166F" w:rsidP="00A72CDE">
            <w:pPr>
              <w:jc w:val="center"/>
              <w:rPr>
                <w:rFonts w:cstheme="majorBidi"/>
                <w:b/>
                <w:bCs/>
                <w:color w:val="auto"/>
                <w:sz w:val="20"/>
                <w:szCs w:val="20"/>
              </w:rPr>
            </w:pPr>
          </w:p>
        </w:tc>
        <w:tc>
          <w:tcPr>
            <w:tcW w:w="1559" w:type="dxa"/>
            <w:tcBorders>
              <w:top w:val="nil"/>
              <w:bottom w:val="single" w:sz="4" w:space="0" w:color="auto"/>
              <w:right w:val="nil"/>
            </w:tcBorders>
            <w:vAlign w:val="center"/>
          </w:tcPr>
          <w:p w14:paraId="26F2CB96"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control</w:t>
            </w:r>
          </w:p>
        </w:tc>
        <w:tc>
          <w:tcPr>
            <w:tcW w:w="850" w:type="dxa"/>
            <w:tcBorders>
              <w:top w:val="nil"/>
              <w:left w:val="nil"/>
              <w:bottom w:val="single" w:sz="4" w:space="0" w:color="auto"/>
              <w:right w:val="nil"/>
            </w:tcBorders>
            <w:vAlign w:val="center"/>
          </w:tcPr>
          <w:p w14:paraId="4B79137B"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bottom w:val="single" w:sz="4" w:space="0" w:color="auto"/>
              <w:right w:val="nil"/>
            </w:tcBorders>
            <w:vAlign w:val="center"/>
          </w:tcPr>
          <w:p w14:paraId="7EED354A"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64.3</w:t>
            </w:r>
          </w:p>
        </w:tc>
        <w:tc>
          <w:tcPr>
            <w:tcW w:w="1276" w:type="dxa"/>
            <w:tcBorders>
              <w:top w:val="nil"/>
              <w:left w:val="nil"/>
              <w:bottom w:val="single" w:sz="4" w:space="0" w:color="auto"/>
              <w:right w:val="nil"/>
            </w:tcBorders>
            <w:vAlign w:val="center"/>
          </w:tcPr>
          <w:p w14:paraId="6D224F64"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7.3</w:t>
            </w:r>
          </w:p>
        </w:tc>
        <w:tc>
          <w:tcPr>
            <w:tcW w:w="992" w:type="dxa"/>
            <w:vMerge/>
            <w:tcBorders>
              <w:top w:val="nil"/>
              <w:left w:val="nil"/>
              <w:bottom w:val="single" w:sz="4" w:space="0" w:color="auto"/>
            </w:tcBorders>
            <w:vAlign w:val="center"/>
          </w:tcPr>
          <w:p w14:paraId="584CA4BD" w14:textId="77777777" w:rsidR="00B9166F" w:rsidRPr="00D03FD0" w:rsidRDefault="00B9166F" w:rsidP="00A72CDE">
            <w:pPr>
              <w:jc w:val="center"/>
              <w:rPr>
                <w:rFonts w:cstheme="majorBidi"/>
                <w:color w:val="auto"/>
                <w:sz w:val="20"/>
                <w:szCs w:val="20"/>
              </w:rPr>
            </w:pPr>
          </w:p>
        </w:tc>
      </w:tr>
      <w:tr w:rsidR="00B9166F" w:rsidRPr="00D03FD0" w14:paraId="395AAB6C" w14:textId="77777777" w:rsidTr="00F830C4">
        <w:trPr>
          <w:trHeight w:val="291"/>
          <w:jc w:val="center"/>
        </w:trPr>
        <w:tc>
          <w:tcPr>
            <w:tcW w:w="1418" w:type="dxa"/>
            <w:vMerge w:val="restart"/>
            <w:vAlign w:val="center"/>
          </w:tcPr>
          <w:p w14:paraId="5E811645"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Adenosine Deaminase</w:t>
            </w:r>
          </w:p>
          <w:p w14:paraId="194035F4" w14:textId="77777777" w:rsidR="00B9166F" w:rsidRPr="00D03FD0" w:rsidRDefault="00B9166F" w:rsidP="00A72CDE">
            <w:pPr>
              <w:jc w:val="center"/>
              <w:rPr>
                <w:rFonts w:cstheme="majorBidi"/>
                <w:b/>
                <w:bCs/>
                <w:color w:val="auto"/>
                <w:sz w:val="20"/>
                <w:szCs w:val="20"/>
              </w:rPr>
            </w:pPr>
            <w:r w:rsidRPr="00D03FD0">
              <w:rPr>
                <w:rFonts w:cstheme="majorBidi"/>
                <w:b/>
                <w:bCs/>
                <w:color w:val="auto"/>
                <w:sz w:val="20"/>
                <w:szCs w:val="20"/>
              </w:rPr>
              <w:t>ng/ml</w:t>
            </w:r>
          </w:p>
        </w:tc>
        <w:tc>
          <w:tcPr>
            <w:tcW w:w="1559" w:type="dxa"/>
            <w:tcBorders>
              <w:bottom w:val="nil"/>
              <w:right w:val="nil"/>
            </w:tcBorders>
            <w:vAlign w:val="center"/>
          </w:tcPr>
          <w:p w14:paraId="4F627FC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before</w:t>
            </w:r>
          </w:p>
        </w:tc>
        <w:tc>
          <w:tcPr>
            <w:tcW w:w="850" w:type="dxa"/>
            <w:tcBorders>
              <w:left w:val="nil"/>
              <w:bottom w:val="nil"/>
              <w:right w:val="nil"/>
            </w:tcBorders>
            <w:vAlign w:val="center"/>
          </w:tcPr>
          <w:p w14:paraId="10CD8AC1"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45</w:t>
            </w:r>
          </w:p>
        </w:tc>
        <w:tc>
          <w:tcPr>
            <w:tcW w:w="1134" w:type="dxa"/>
            <w:tcBorders>
              <w:left w:val="nil"/>
              <w:bottom w:val="nil"/>
              <w:right w:val="nil"/>
            </w:tcBorders>
            <w:vAlign w:val="center"/>
          </w:tcPr>
          <w:p w14:paraId="3850D931"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14.9</w:t>
            </w:r>
          </w:p>
        </w:tc>
        <w:tc>
          <w:tcPr>
            <w:tcW w:w="1276" w:type="dxa"/>
            <w:tcBorders>
              <w:left w:val="nil"/>
              <w:bottom w:val="nil"/>
              <w:right w:val="nil"/>
            </w:tcBorders>
            <w:vAlign w:val="center"/>
          </w:tcPr>
          <w:p w14:paraId="10A906CB"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7.5</w:t>
            </w:r>
          </w:p>
        </w:tc>
        <w:tc>
          <w:tcPr>
            <w:tcW w:w="992" w:type="dxa"/>
            <w:vMerge w:val="restart"/>
            <w:tcBorders>
              <w:left w:val="nil"/>
              <w:bottom w:val="nil"/>
            </w:tcBorders>
            <w:vAlign w:val="center"/>
          </w:tcPr>
          <w:p w14:paraId="3F7652FE"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0.01</w:t>
            </w:r>
            <w:r w:rsidRPr="00D03FD0">
              <w:rPr>
                <w:rFonts w:cstheme="majorBidi"/>
                <w:color w:val="auto"/>
                <w:sz w:val="20"/>
                <w:szCs w:val="20"/>
                <w:vertAlign w:val="superscript"/>
              </w:rPr>
              <w:t>**</w:t>
            </w:r>
          </w:p>
        </w:tc>
      </w:tr>
      <w:tr w:rsidR="00B9166F" w:rsidRPr="00D03FD0" w14:paraId="3C5B8BB5" w14:textId="77777777" w:rsidTr="00F830C4">
        <w:trPr>
          <w:trHeight w:val="80"/>
          <w:jc w:val="center"/>
        </w:trPr>
        <w:tc>
          <w:tcPr>
            <w:tcW w:w="1418" w:type="dxa"/>
            <w:vMerge/>
            <w:vAlign w:val="center"/>
          </w:tcPr>
          <w:p w14:paraId="666F1D35" w14:textId="77777777" w:rsidR="00B9166F" w:rsidRPr="00D03FD0" w:rsidRDefault="00B9166F" w:rsidP="00A72CDE">
            <w:pPr>
              <w:spacing w:after="160"/>
              <w:jc w:val="center"/>
              <w:rPr>
                <w:rFonts w:cstheme="majorBidi"/>
                <w:color w:val="auto"/>
                <w:sz w:val="20"/>
                <w:szCs w:val="20"/>
              </w:rPr>
            </w:pPr>
          </w:p>
        </w:tc>
        <w:tc>
          <w:tcPr>
            <w:tcW w:w="1559" w:type="dxa"/>
            <w:tcBorders>
              <w:top w:val="nil"/>
              <w:bottom w:val="single" w:sz="4" w:space="0" w:color="auto"/>
              <w:right w:val="nil"/>
            </w:tcBorders>
            <w:vAlign w:val="center"/>
          </w:tcPr>
          <w:p w14:paraId="4FC06553"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after</w:t>
            </w:r>
          </w:p>
        </w:tc>
        <w:tc>
          <w:tcPr>
            <w:tcW w:w="850" w:type="dxa"/>
            <w:tcBorders>
              <w:top w:val="nil"/>
              <w:left w:val="nil"/>
              <w:bottom w:val="single" w:sz="4" w:space="0" w:color="auto"/>
              <w:right w:val="nil"/>
            </w:tcBorders>
            <w:vAlign w:val="center"/>
          </w:tcPr>
          <w:p w14:paraId="22FC10A6"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bottom w:val="single" w:sz="4" w:space="0" w:color="auto"/>
              <w:right w:val="nil"/>
            </w:tcBorders>
            <w:vAlign w:val="center"/>
          </w:tcPr>
          <w:p w14:paraId="3B176E92"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1.6</w:t>
            </w:r>
          </w:p>
        </w:tc>
        <w:tc>
          <w:tcPr>
            <w:tcW w:w="1276" w:type="dxa"/>
            <w:tcBorders>
              <w:top w:val="nil"/>
              <w:left w:val="nil"/>
              <w:bottom w:val="single" w:sz="4" w:space="0" w:color="auto"/>
              <w:right w:val="nil"/>
            </w:tcBorders>
            <w:vAlign w:val="center"/>
          </w:tcPr>
          <w:p w14:paraId="0CF9AEB5"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1.3</w:t>
            </w:r>
          </w:p>
        </w:tc>
        <w:tc>
          <w:tcPr>
            <w:tcW w:w="992" w:type="dxa"/>
            <w:vMerge/>
            <w:tcBorders>
              <w:top w:val="nil"/>
              <w:left w:val="nil"/>
              <w:bottom w:val="single" w:sz="4" w:space="0" w:color="auto"/>
            </w:tcBorders>
            <w:vAlign w:val="center"/>
          </w:tcPr>
          <w:p w14:paraId="61B01D29" w14:textId="77777777" w:rsidR="00B9166F" w:rsidRPr="00D03FD0" w:rsidRDefault="00B9166F" w:rsidP="00A72CDE">
            <w:pPr>
              <w:spacing w:after="160"/>
              <w:jc w:val="center"/>
              <w:rPr>
                <w:rFonts w:cstheme="majorBidi"/>
                <w:color w:val="auto"/>
                <w:sz w:val="20"/>
                <w:szCs w:val="20"/>
              </w:rPr>
            </w:pPr>
          </w:p>
        </w:tc>
      </w:tr>
      <w:tr w:rsidR="00B9166F" w:rsidRPr="00D03FD0" w14:paraId="109420E8" w14:textId="77777777" w:rsidTr="00F830C4">
        <w:trPr>
          <w:trHeight w:val="416"/>
          <w:jc w:val="center"/>
        </w:trPr>
        <w:tc>
          <w:tcPr>
            <w:tcW w:w="1418" w:type="dxa"/>
            <w:vMerge/>
            <w:vAlign w:val="center"/>
          </w:tcPr>
          <w:p w14:paraId="1F0B621E" w14:textId="77777777" w:rsidR="00B9166F" w:rsidRPr="00D03FD0" w:rsidRDefault="00B9166F" w:rsidP="00A72CDE">
            <w:pPr>
              <w:spacing w:after="160"/>
              <w:jc w:val="center"/>
              <w:rPr>
                <w:rFonts w:cstheme="majorBidi"/>
                <w:color w:val="auto"/>
                <w:sz w:val="20"/>
                <w:szCs w:val="20"/>
              </w:rPr>
            </w:pPr>
          </w:p>
        </w:tc>
        <w:tc>
          <w:tcPr>
            <w:tcW w:w="1559" w:type="dxa"/>
            <w:tcBorders>
              <w:bottom w:val="nil"/>
              <w:right w:val="nil"/>
            </w:tcBorders>
            <w:vAlign w:val="center"/>
          </w:tcPr>
          <w:p w14:paraId="12BFD7B1"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before</w:t>
            </w:r>
          </w:p>
        </w:tc>
        <w:tc>
          <w:tcPr>
            <w:tcW w:w="850" w:type="dxa"/>
            <w:tcBorders>
              <w:left w:val="nil"/>
              <w:bottom w:val="nil"/>
              <w:right w:val="nil"/>
            </w:tcBorders>
            <w:vAlign w:val="center"/>
          </w:tcPr>
          <w:p w14:paraId="64C25D04"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45</w:t>
            </w:r>
          </w:p>
        </w:tc>
        <w:tc>
          <w:tcPr>
            <w:tcW w:w="1134" w:type="dxa"/>
            <w:tcBorders>
              <w:left w:val="nil"/>
              <w:bottom w:val="nil"/>
              <w:right w:val="nil"/>
            </w:tcBorders>
            <w:vAlign w:val="center"/>
          </w:tcPr>
          <w:p w14:paraId="0F7759BE"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14.9</w:t>
            </w:r>
          </w:p>
        </w:tc>
        <w:tc>
          <w:tcPr>
            <w:tcW w:w="1276" w:type="dxa"/>
            <w:tcBorders>
              <w:left w:val="nil"/>
              <w:bottom w:val="nil"/>
              <w:right w:val="nil"/>
            </w:tcBorders>
            <w:vAlign w:val="center"/>
          </w:tcPr>
          <w:p w14:paraId="70BA8817"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7.5</w:t>
            </w:r>
          </w:p>
        </w:tc>
        <w:tc>
          <w:tcPr>
            <w:tcW w:w="992" w:type="dxa"/>
            <w:vMerge w:val="restart"/>
            <w:tcBorders>
              <w:left w:val="nil"/>
              <w:bottom w:val="nil"/>
            </w:tcBorders>
            <w:vAlign w:val="center"/>
          </w:tcPr>
          <w:p w14:paraId="3F03D1CB"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&lt; 0.01</w:t>
            </w:r>
            <w:r w:rsidRPr="00D03FD0">
              <w:rPr>
                <w:rFonts w:cstheme="majorBidi"/>
                <w:color w:val="auto"/>
                <w:sz w:val="20"/>
                <w:szCs w:val="20"/>
                <w:vertAlign w:val="superscript"/>
              </w:rPr>
              <w:t>**</w:t>
            </w:r>
          </w:p>
        </w:tc>
      </w:tr>
      <w:tr w:rsidR="00B9166F" w:rsidRPr="00D03FD0" w14:paraId="104133DD" w14:textId="77777777" w:rsidTr="00F830C4">
        <w:trPr>
          <w:trHeight w:val="80"/>
          <w:jc w:val="center"/>
        </w:trPr>
        <w:tc>
          <w:tcPr>
            <w:tcW w:w="1418" w:type="dxa"/>
            <w:vMerge/>
            <w:vAlign w:val="center"/>
          </w:tcPr>
          <w:p w14:paraId="1DBF14B0" w14:textId="77777777" w:rsidR="00B9166F" w:rsidRPr="00D03FD0" w:rsidRDefault="00B9166F" w:rsidP="00A72CDE">
            <w:pPr>
              <w:spacing w:after="160"/>
              <w:jc w:val="center"/>
              <w:rPr>
                <w:rFonts w:cstheme="majorBidi"/>
                <w:color w:val="auto"/>
                <w:sz w:val="20"/>
                <w:szCs w:val="20"/>
              </w:rPr>
            </w:pPr>
          </w:p>
        </w:tc>
        <w:tc>
          <w:tcPr>
            <w:tcW w:w="1559" w:type="dxa"/>
            <w:tcBorders>
              <w:top w:val="nil"/>
              <w:bottom w:val="single" w:sz="4" w:space="0" w:color="auto"/>
              <w:right w:val="nil"/>
            </w:tcBorders>
            <w:vAlign w:val="center"/>
          </w:tcPr>
          <w:p w14:paraId="46896473"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control</w:t>
            </w:r>
          </w:p>
        </w:tc>
        <w:tc>
          <w:tcPr>
            <w:tcW w:w="850" w:type="dxa"/>
            <w:tcBorders>
              <w:top w:val="nil"/>
              <w:left w:val="nil"/>
              <w:bottom w:val="single" w:sz="4" w:space="0" w:color="auto"/>
              <w:right w:val="nil"/>
            </w:tcBorders>
            <w:vAlign w:val="center"/>
          </w:tcPr>
          <w:p w14:paraId="1FDF78AE"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bottom w:val="single" w:sz="4" w:space="0" w:color="auto"/>
              <w:right w:val="nil"/>
            </w:tcBorders>
            <w:vAlign w:val="center"/>
          </w:tcPr>
          <w:p w14:paraId="5B256A13"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1.4</w:t>
            </w:r>
          </w:p>
        </w:tc>
        <w:tc>
          <w:tcPr>
            <w:tcW w:w="1276" w:type="dxa"/>
            <w:tcBorders>
              <w:top w:val="nil"/>
              <w:left w:val="nil"/>
              <w:bottom w:val="single" w:sz="4" w:space="0" w:color="auto"/>
              <w:right w:val="nil"/>
            </w:tcBorders>
            <w:vAlign w:val="center"/>
          </w:tcPr>
          <w:p w14:paraId="456343F4"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0.3</w:t>
            </w:r>
          </w:p>
        </w:tc>
        <w:tc>
          <w:tcPr>
            <w:tcW w:w="992" w:type="dxa"/>
            <w:vMerge/>
            <w:tcBorders>
              <w:top w:val="nil"/>
              <w:left w:val="nil"/>
              <w:bottom w:val="single" w:sz="4" w:space="0" w:color="auto"/>
            </w:tcBorders>
            <w:vAlign w:val="center"/>
          </w:tcPr>
          <w:p w14:paraId="0C32B472" w14:textId="77777777" w:rsidR="00B9166F" w:rsidRPr="00D03FD0" w:rsidRDefault="00B9166F" w:rsidP="00A72CDE">
            <w:pPr>
              <w:spacing w:after="160"/>
              <w:jc w:val="center"/>
              <w:rPr>
                <w:rFonts w:cstheme="majorBidi"/>
                <w:color w:val="auto"/>
                <w:sz w:val="20"/>
                <w:szCs w:val="20"/>
              </w:rPr>
            </w:pPr>
          </w:p>
        </w:tc>
      </w:tr>
      <w:tr w:rsidR="00B9166F" w:rsidRPr="00D03FD0" w14:paraId="06D7E9E8" w14:textId="77777777" w:rsidTr="00F830C4">
        <w:trPr>
          <w:trHeight w:val="369"/>
          <w:jc w:val="center"/>
        </w:trPr>
        <w:tc>
          <w:tcPr>
            <w:tcW w:w="1418" w:type="dxa"/>
            <w:vMerge/>
            <w:vAlign w:val="center"/>
          </w:tcPr>
          <w:p w14:paraId="306F4C79" w14:textId="77777777" w:rsidR="00B9166F" w:rsidRPr="00D03FD0" w:rsidRDefault="00B9166F" w:rsidP="00A72CDE">
            <w:pPr>
              <w:spacing w:after="160"/>
              <w:jc w:val="center"/>
              <w:rPr>
                <w:rFonts w:cstheme="majorBidi"/>
                <w:color w:val="auto"/>
                <w:sz w:val="20"/>
                <w:szCs w:val="20"/>
              </w:rPr>
            </w:pPr>
          </w:p>
        </w:tc>
        <w:tc>
          <w:tcPr>
            <w:tcW w:w="1559" w:type="dxa"/>
            <w:tcBorders>
              <w:bottom w:val="nil"/>
              <w:right w:val="nil"/>
            </w:tcBorders>
            <w:vAlign w:val="center"/>
          </w:tcPr>
          <w:p w14:paraId="38D597B9"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after</w:t>
            </w:r>
          </w:p>
        </w:tc>
        <w:tc>
          <w:tcPr>
            <w:tcW w:w="850" w:type="dxa"/>
            <w:tcBorders>
              <w:left w:val="nil"/>
              <w:bottom w:val="nil"/>
              <w:right w:val="nil"/>
            </w:tcBorders>
            <w:vAlign w:val="center"/>
          </w:tcPr>
          <w:p w14:paraId="752A5EE8"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45</w:t>
            </w:r>
          </w:p>
        </w:tc>
        <w:tc>
          <w:tcPr>
            <w:tcW w:w="1134" w:type="dxa"/>
            <w:tcBorders>
              <w:left w:val="nil"/>
              <w:bottom w:val="nil"/>
              <w:right w:val="nil"/>
            </w:tcBorders>
            <w:vAlign w:val="center"/>
          </w:tcPr>
          <w:p w14:paraId="7587EE27"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1.6</w:t>
            </w:r>
          </w:p>
        </w:tc>
        <w:tc>
          <w:tcPr>
            <w:tcW w:w="1276" w:type="dxa"/>
            <w:tcBorders>
              <w:left w:val="nil"/>
              <w:bottom w:val="nil"/>
              <w:right w:val="nil"/>
            </w:tcBorders>
            <w:vAlign w:val="center"/>
          </w:tcPr>
          <w:p w14:paraId="7AC84261"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1.3</w:t>
            </w:r>
          </w:p>
        </w:tc>
        <w:tc>
          <w:tcPr>
            <w:tcW w:w="992" w:type="dxa"/>
            <w:vMerge w:val="restart"/>
            <w:tcBorders>
              <w:left w:val="nil"/>
              <w:bottom w:val="nil"/>
            </w:tcBorders>
            <w:vAlign w:val="center"/>
          </w:tcPr>
          <w:p w14:paraId="6FA778F3"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0.149</w:t>
            </w:r>
          </w:p>
        </w:tc>
      </w:tr>
      <w:tr w:rsidR="00B9166F" w:rsidRPr="00D03FD0" w14:paraId="51EB87DF" w14:textId="77777777" w:rsidTr="00F830C4">
        <w:trPr>
          <w:trHeight w:val="299"/>
          <w:jc w:val="center"/>
        </w:trPr>
        <w:tc>
          <w:tcPr>
            <w:tcW w:w="1418" w:type="dxa"/>
            <w:vMerge/>
            <w:vAlign w:val="center"/>
          </w:tcPr>
          <w:p w14:paraId="243524DA" w14:textId="77777777" w:rsidR="00B9166F" w:rsidRPr="00D03FD0" w:rsidRDefault="00B9166F" w:rsidP="00A72CDE">
            <w:pPr>
              <w:spacing w:after="160"/>
              <w:jc w:val="center"/>
              <w:rPr>
                <w:rFonts w:cstheme="majorBidi"/>
                <w:color w:val="auto"/>
                <w:sz w:val="20"/>
                <w:szCs w:val="20"/>
              </w:rPr>
            </w:pPr>
          </w:p>
        </w:tc>
        <w:tc>
          <w:tcPr>
            <w:tcW w:w="1559" w:type="dxa"/>
            <w:tcBorders>
              <w:top w:val="nil"/>
              <w:right w:val="nil"/>
            </w:tcBorders>
            <w:vAlign w:val="center"/>
          </w:tcPr>
          <w:p w14:paraId="25D3822F"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control</w:t>
            </w:r>
          </w:p>
        </w:tc>
        <w:tc>
          <w:tcPr>
            <w:tcW w:w="850" w:type="dxa"/>
            <w:tcBorders>
              <w:top w:val="nil"/>
              <w:left w:val="nil"/>
              <w:right w:val="nil"/>
            </w:tcBorders>
            <w:vAlign w:val="center"/>
          </w:tcPr>
          <w:p w14:paraId="3E360763"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45</w:t>
            </w:r>
          </w:p>
        </w:tc>
        <w:tc>
          <w:tcPr>
            <w:tcW w:w="1134" w:type="dxa"/>
            <w:tcBorders>
              <w:top w:val="nil"/>
              <w:left w:val="nil"/>
              <w:right w:val="nil"/>
            </w:tcBorders>
            <w:vAlign w:val="center"/>
          </w:tcPr>
          <w:p w14:paraId="39C6314A"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1.3</w:t>
            </w:r>
          </w:p>
        </w:tc>
        <w:tc>
          <w:tcPr>
            <w:tcW w:w="1276" w:type="dxa"/>
            <w:tcBorders>
              <w:top w:val="nil"/>
              <w:left w:val="nil"/>
              <w:right w:val="nil"/>
            </w:tcBorders>
            <w:vAlign w:val="center"/>
          </w:tcPr>
          <w:p w14:paraId="035DB2F0"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0.3</w:t>
            </w:r>
          </w:p>
        </w:tc>
        <w:tc>
          <w:tcPr>
            <w:tcW w:w="992" w:type="dxa"/>
            <w:vMerge/>
            <w:tcBorders>
              <w:top w:val="nil"/>
              <w:left w:val="nil"/>
            </w:tcBorders>
            <w:vAlign w:val="center"/>
          </w:tcPr>
          <w:p w14:paraId="3CA64681" w14:textId="77777777" w:rsidR="00B9166F" w:rsidRPr="00D03FD0" w:rsidRDefault="00B9166F" w:rsidP="00A72CDE">
            <w:pPr>
              <w:spacing w:after="160"/>
              <w:jc w:val="center"/>
              <w:rPr>
                <w:rFonts w:cstheme="majorBidi"/>
                <w:color w:val="auto"/>
                <w:sz w:val="20"/>
                <w:szCs w:val="20"/>
              </w:rPr>
            </w:pPr>
          </w:p>
        </w:tc>
      </w:tr>
    </w:tbl>
    <w:p w14:paraId="53C85B04" w14:textId="77777777" w:rsidR="00B9166F" w:rsidRPr="00762DBA" w:rsidRDefault="00B9166F" w:rsidP="00D03FD0">
      <w:pPr>
        <w:jc w:val="both"/>
        <w:rPr>
          <w:rFonts w:cstheme="majorBidi"/>
          <w:color w:val="auto"/>
          <w:sz w:val="24"/>
          <w:rtl/>
        </w:rPr>
      </w:pPr>
      <w:r w:rsidRPr="00762DBA">
        <w:rPr>
          <w:rFonts w:cstheme="majorBidi"/>
          <w:color w:val="auto"/>
          <w:sz w:val="20"/>
          <w:szCs w:val="20"/>
        </w:rPr>
        <w:t xml:space="preserve">*Significant at level (p &lt; 0.05) </w:t>
      </w:r>
      <w:r w:rsidRPr="00762DBA">
        <w:rPr>
          <w:rFonts w:cstheme="majorBidi"/>
          <w:color w:val="auto"/>
          <w:sz w:val="20"/>
          <w:szCs w:val="20"/>
          <w:rtl/>
        </w:rPr>
        <w:t xml:space="preserve">، </w:t>
      </w:r>
      <w:r w:rsidRPr="00762DBA">
        <w:rPr>
          <w:rFonts w:cstheme="majorBidi"/>
          <w:color w:val="auto"/>
          <w:sz w:val="20"/>
          <w:szCs w:val="20"/>
        </w:rPr>
        <w:t xml:space="preserve">** Highly significant at level (p&lt;0.01), no Significance at level (p&gt;0.05). TNF-α: </w:t>
      </w:r>
      <w:proofErr w:type="spellStart"/>
      <w:r w:rsidRPr="00762DBA">
        <w:rPr>
          <w:rFonts w:cstheme="majorBidi"/>
          <w:color w:val="auto"/>
          <w:sz w:val="20"/>
          <w:szCs w:val="20"/>
        </w:rPr>
        <w:t>Tumor</w:t>
      </w:r>
      <w:proofErr w:type="spellEnd"/>
      <w:r w:rsidRPr="00762DBA">
        <w:rPr>
          <w:rFonts w:cstheme="majorBidi"/>
          <w:color w:val="auto"/>
          <w:sz w:val="20"/>
          <w:szCs w:val="20"/>
        </w:rPr>
        <w:t xml:space="preserve"> Necrosis Factor, Anti-CCP: Anti-Cyclic Citrullinated Peptide</w:t>
      </w:r>
      <w:r w:rsidRPr="00762DBA">
        <w:rPr>
          <w:rFonts w:cstheme="majorBidi"/>
          <w:color w:val="auto"/>
          <w:sz w:val="24"/>
        </w:rPr>
        <w:t>.</w:t>
      </w:r>
    </w:p>
    <w:p w14:paraId="48587C99" w14:textId="77777777" w:rsidR="00B9166F" w:rsidRPr="00B9166F" w:rsidRDefault="00B9166F" w:rsidP="005B47EF">
      <w:pPr>
        <w:spacing w:after="0" w:line="240" w:lineRule="auto"/>
        <w:ind w:firstLine="720"/>
        <w:jc w:val="both"/>
        <w:rPr>
          <w:rFonts w:cstheme="majorBidi"/>
          <w:color w:val="auto"/>
          <w:sz w:val="24"/>
        </w:rPr>
      </w:pPr>
      <w:r w:rsidRPr="00B9166F">
        <w:rPr>
          <w:rFonts w:cstheme="majorBidi"/>
          <w:color w:val="auto"/>
          <w:sz w:val="24"/>
        </w:rPr>
        <w:t>correlation analysis was performed to evaluate the relationship between disease activity (DAS28) and key RA-related biomarkers before and after treatment as shown in table 3. A strong positive correlation was observed between DAS28 and TNF-α levels before treatment (</w:t>
      </w:r>
      <w:r w:rsidRPr="00B9166F">
        <w:rPr>
          <w:rFonts w:cstheme="majorBidi"/>
          <w:i/>
          <w:iCs/>
          <w:color w:val="auto"/>
          <w:sz w:val="24"/>
        </w:rPr>
        <w:t>r</w:t>
      </w:r>
      <w:r w:rsidRPr="00B9166F">
        <w:rPr>
          <w:rFonts w:cstheme="majorBidi"/>
          <w:color w:val="auto"/>
          <w:sz w:val="24"/>
        </w:rPr>
        <w:t xml:space="preserve"> = 0.729, </w:t>
      </w:r>
      <w:r w:rsidRPr="00B9166F">
        <w:rPr>
          <w:rFonts w:cstheme="majorBidi"/>
          <w:i/>
          <w:iCs/>
          <w:color w:val="auto"/>
          <w:sz w:val="24"/>
        </w:rPr>
        <w:t>p</w:t>
      </w:r>
      <w:r w:rsidRPr="00B9166F">
        <w:rPr>
          <w:rFonts w:cstheme="majorBidi"/>
          <w:color w:val="auto"/>
          <w:sz w:val="24"/>
        </w:rPr>
        <w:t xml:space="preserve"> &lt; 0.01), indicating that higher TNF-α levels were associated with more active disease. However, after treatment, the correlation was lost (</w:t>
      </w:r>
      <w:r w:rsidRPr="00B9166F">
        <w:rPr>
          <w:rFonts w:cstheme="majorBidi"/>
          <w:i/>
          <w:iCs/>
          <w:color w:val="auto"/>
          <w:sz w:val="24"/>
        </w:rPr>
        <w:t>r</w:t>
      </w:r>
      <w:r w:rsidRPr="00B9166F">
        <w:rPr>
          <w:rFonts w:cstheme="majorBidi"/>
          <w:color w:val="auto"/>
          <w:sz w:val="24"/>
        </w:rPr>
        <w:t xml:space="preserve"> = –0.014, </w:t>
      </w:r>
      <w:r w:rsidRPr="00B9166F">
        <w:rPr>
          <w:rFonts w:cstheme="majorBidi"/>
          <w:i/>
          <w:iCs/>
          <w:color w:val="auto"/>
          <w:sz w:val="24"/>
        </w:rPr>
        <w:t>p</w:t>
      </w:r>
      <w:r w:rsidRPr="00B9166F">
        <w:rPr>
          <w:rFonts w:cstheme="majorBidi"/>
          <w:color w:val="auto"/>
          <w:sz w:val="24"/>
        </w:rPr>
        <w:t xml:space="preserve"> = 0.9281), suggesting a therapeutic decoupling of inflammatory activity and TNF-α concentration.</w:t>
      </w:r>
    </w:p>
    <w:p w14:paraId="05B0D2C0" w14:textId="77777777" w:rsidR="00B9166F" w:rsidRPr="00B9166F" w:rsidRDefault="00B9166F" w:rsidP="005B47EF">
      <w:pPr>
        <w:spacing w:after="0" w:line="240" w:lineRule="auto"/>
        <w:ind w:firstLine="720"/>
        <w:jc w:val="both"/>
        <w:rPr>
          <w:rFonts w:cstheme="majorBidi"/>
          <w:color w:val="auto"/>
          <w:sz w:val="24"/>
        </w:rPr>
      </w:pPr>
      <w:r w:rsidRPr="00B9166F">
        <w:rPr>
          <w:rFonts w:cstheme="majorBidi"/>
          <w:color w:val="auto"/>
          <w:sz w:val="24"/>
        </w:rPr>
        <w:t>A significant inverse correlation was found between DAS28 and Anti-CCP levels post-treatment (</w:t>
      </w:r>
      <w:r w:rsidRPr="00B9166F">
        <w:rPr>
          <w:rFonts w:cstheme="majorBidi"/>
          <w:i/>
          <w:iCs/>
          <w:color w:val="auto"/>
          <w:sz w:val="24"/>
        </w:rPr>
        <w:t>r</w:t>
      </w:r>
      <w:r w:rsidRPr="00B9166F">
        <w:rPr>
          <w:rFonts w:cstheme="majorBidi"/>
          <w:color w:val="auto"/>
          <w:sz w:val="24"/>
        </w:rPr>
        <w:t xml:space="preserve"> = –0.454, </w:t>
      </w:r>
      <w:r w:rsidRPr="00B9166F">
        <w:rPr>
          <w:rFonts w:cstheme="majorBidi"/>
          <w:i/>
          <w:iCs/>
          <w:color w:val="auto"/>
          <w:sz w:val="24"/>
        </w:rPr>
        <w:t>p</w:t>
      </w:r>
      <w:r w:rsidRPr="00B9166F">
        <w:rPr>
          <w:rFonts w:cstheme="majorBidi"/>
          <w:color w:val="auto"/>
          <w:sz w:val="24"/>
        </w:rPr>
        <w:t xml:space="preserve"> &lt; 0.01), whereas no significant correlation existed before treatment (</w:t>
      </w:r>
      <w:r w:rsidRPr="00B9166F">
        <w:rPr>
          <w:rFonts w:cstheme="majorBidi"/>
          <w:i/>
          <w:iCs/>
          <w:color w:val="auto"/>
          <w:sz w:val="24"/>
        </w:rPr>
        <w:t>r</w:t>
      </w:r>
      <w:r w:rsidRPr="00B9166F">
        <w:rPr>
          <w:rFonts w:cstheme="majorBidi"/>
          <w:color w:val="auto"/>
          <w:sz w:val="24"/>
        </w:rPr>
        <w:t xml:space="preserve"> = –0.135, </w:t>
      </w:r>
      <w:r w:rsidRPr="00B9166F">
        <w:rPr>
          <w:rFonts w:cstheme="majorBidi"/>
          <w:i/>
          <w:iCs/>
          <w:color w:val="auto"/>
          <w:sz w:val="24"/>
        </w:rPr>
        <w:t>p</w:t>
      </w:r>
      <w:r w:rsidRPr="00B9166F">
        <w:rPr>
          <w:rFonts w:cstheme="majorBidi"/>
          <w:color w:val="auto"/>
          <w:sz w:val="24"/>
        </w:rPr>
        <w:t xml:space="preserve"> = 0.3783). This finding may imply that Anti-CCP levels become more reflective of residual disease activity after therapeutic intervention. Regarding ADA, no significant correlation with DAS28 was detected either before (</w:t>
      </w:r>
      <w:r w:rsidRPr="00B9166F">
        <w:rPr>
          <w:rFonts w:cstheme="majorBidi"/>
          <w:i/>
          <w:iCs/>
          <w:color w:val="auto"/>
          <w:sz w:val="24"/>
        </w:rPr>
        <w:t>r</w:t>
      </w:r>
      <w:r w:rsidRPr="00B9166F">
        <w:rPr>
          <w:rFonts w:cstheme="majorBidi"/>
          <w:color w:val="auto"/>
          <w:sz w:val="24"/>
        </w:rPr>
        <w:t xml:space="preserve"> = –0.130, </w:t>
      </w:r>
      <w:r w:rsidRPr="00B9166F">
        <w:rPr>
          <w:rFonts w:cstheme="majorBidi"/>
          <w:i/>
          <w:iCs/>
          <w:color w:val="auto"/>
          <w:sz w:val="24"/>
        </w:rPr>
        <w:t>p</w:t>
      </w:r>
      <w:r w:rsidRPr="00B9166F">
        <w:rPr>
          <w:rFonts w:cstheme="majorBidi"/>
          <w:color w:val="auto"/>
          <w:sz w:val="24"/>
        </w:rPr>
        <w:t xml:space="preserve"> = 0.3961) or after treatment (</w:t>
      </w:r>
      <w:r w:rsidRPr="00B9166F">
        <w:rPr>
          <w:rFonts w:cstheme="majorBidi"/>
          <w:i/>
          <w:iCs/>
          <w:color w:val="auto"/>
          <w:sz w:val="24"/>
        </w:rPr>
        <w:t>r</w:t>
      </w:r>
      <w:r w:rsidRPr="00B9166F">
        <w:rPr>
          <w:rFonts w:cstheme="majorBidi"/>
          <w:color w:val="auto"/>
          <w:sz w:val="24"/>
        </w:rPr>
        <w:t xml:space="preserve"> = –0.156, </w:t>
      </w:r>
      <w:r w:rsidRPr="00B9166F">
        <w:rPr>
          <w:rFonts w:cstheme="majorBidi"/>
          <w:i/>
          <w:iCs/>
          <w:color w:val="auto"/>
          <w:sz w:val="24"/>
        </w:rPr>
        <w:t>p</w:t>
      </w:r>
      <w:r w:rsidRPr="00B9166F">
        <w:rPr>
          <w:rFonts w:cstheme="majorBidi"/>
          <w:color w:val="auto"/>
          <w:sz w:val="24"/>
        </w:rPr>
        <w:t xml:space="preserve"> = 0.3076), suggesting limited value of ADA as a marker for monitoring disease activity in this context.</w:t>
      </w:r>
    </w:p>
    <w:p w14:paraId="6B91C911" w14:textId="77777777" w:rsidR="00B9166F" w:rsidRPr="00B9166F" w:rsidRDefault="00B9166F" w:rsidP="000A0704">
      <w:pPr>
        <w:spacing w:line="240" w:lineRule="auto"/>
        <w:rPr>
          <w:rFonts w:cstheme="majorBidi"/>
          <w:color w:val="auto"/>
          <w:sz w:val="24"/>
        </w:rPr>
      </w:pPr>
      <w:r w:rsidRPr="00B9166F">
        <w:rPr>
          <w:rFonts w:cstheme="majorBidi"/>
          <w:b/>
          <w:bCs/>
          <w:color w:val="auto"/>
          <w:sz w:val="24"/>
        </w:rPr>
        <w:t>Table 3:</w:t>
      </w:r>
      <w:r w:rsidRPr="00B9166F">
        <w:rPr>
          <w:rFonts w:cstheme="majorBidi"/>
          <w:color w:val="auto"/>
          <w:sz w:val="24"/>
        </w:rPr>
        <w:t xml:space="preserve"> Correlation of TNF-α, Anti-CCP, and ADA with DAS28</w:t>
      </w:r>
    </w:p>
    <w:tbl>
      <w:tblPr>
        <w:tblStyle w:val="TableGrid1"/>
        <w:tblW w:w="0" w:type="auto"/>
        <w:jc w:val="center"/>
        <w:tblLook w:val="04A0" w:firstRow="1" w:lastRow="0" w:firstColumn="1" w:lastColumn="0" w:noHBand="0" w:noVBand="1"/>
      </w:tblPr>
      <w:tblGrid>
        <w:gridCol w:w="1515"/>
        <w:gridCol w:w="7"/>
        <w:gridCol w:w="1025"/>
        <w:gridCol w:w="1559"/>
        <w:gridCol w:w="1134"/>
        <w:gridCol w:w="2268"/>
      </w:tblGrid>
      <w:tr w:rsidR="00B9166F" w:rsidRPr="00D03FD0" w14:paraId="7940AC79" w14:textId="77777777" w:rsidTr="00F830C4">
        <w:trPr>
          <w:jc w:val="center"/>
        </w:trPr>
        <w:tc>
          <w:tcPr>
            <w:tcW w:w="2547" w:type="dxa"/>
            <w:gridSpan w:val="3"/>
            <w:vAlign w:val="center"/>
          </w:tcPr>
          <w:p w14:paraId="52DB8FA7"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Variable Pair</w:t>
            </w:r>
          </w:p>
        </w:tc>
        <w:tc>
          <w:tcPr>
            <w:tcW w:w="1559" w:type="dxa"/>
            <w:vAlign w:val="center"/>
          </w:tcPr>
          <w:p w14:paraId="4C22EAE2"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Correlation Coefficient (r)</w:t>
            </w:r>
          </w:p>
        </w:tc>
        <w:tc>
          <w:tcPr>
            <w:tcW w:w="1134" w:type="dxa"/>
            <w:vAlign w:val="center"/>
          </w:tcPr>
          <w:p w14:paraId="7299CB8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p-value</w:t>
            </w:r>
          </w:p>
        </w:tc>
        <w:tc>
          <w:tcPr>
            <w:tcW w:w="2268" w:type="dxa"/>
            <w:vAlign w:val="center"/>
          </w:tcPr>
          <w:p w14:paraId="1122A5D6"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Significance</w:t>
            </w:r>
          </w:p>
        </w:tc>
      </w:tr>
      <w:tr w:rsidR="00B9166F" w:rsidRPr="00D03FD0" w14:paraId="61C0BFA2" w14:textId="77777777" w:rsidTr="00F830C4">
        <w:trPr>
          <w:trHeight w:val="371"/>
          <w:jc w:val="center"/>
        </w:trPr>
        <w:tc>
          <w:tcPr>
            <w:tcW w:w="1522" w:type="dxa"/>
            <w:gridSpan w:val="2"/>
            <w:vAlign w:val="center"/>
          </w:tcPr>
          <w:p w14:paraId="4125A4D4"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DAS28</w:t>
            </w:r>
          </w:p>
        </w:tc>
        <w:tc>
          <w:tcPr>
            <w:tcW w:w="1025" w:type="dxa"/>
            <w:vMerge w:val="restart"/>
            <w:vAlign w:val="center"/>
          </w:tcPr>
          <w:p w14:paraId="5C31310E" w14:textId="0D680652" w:rsidR="00B9166F" w:rsidRPr="00D03FD0" w:rsidRDefault="000A0704" w:rsidP="00A72CDE">
            <w:pPr>
              <w:jc w:val="center"/>
              <w:rPr>
                <w:rFonts w:cstheme="majorBidi"/>
                <w:color w:val="auto"/>
                <w:sz w:val="20"/>
                <w:szCs w:val="20"/>
              </w:rPr>
            </w:pPr>
            <w:r w:rsidRPr="00D03FD0">
              <w:rPr>
                <w:rFonts w:cstheme="majorBidi"/>
                <w:color w:val="auto"/>
                <w:sz w:val="20"/>
                <w:szCs w:val="20"/>
              </w:rPr>
              <w:t>B</w:t>
            </w:r>
            <w:r w:rsidR="00B9166F" w:rsidRPr="00D03FD0">
              <w:rPr>
                <w:rFonts w:cstheme="majorBidi"/>
                <w:color w:val="auto"/>
                <w:sz w:val="20"/>
                <w:szCs w:val="20"/>
              </w:rPr>
              <w:t>efore</w:t>
            </w:r>
          </w:p>
        </w:tc>
        <w:tc>
          <w:tcPr>
            <w:tcW w:w="1559" w:type="dxa"/>
            <w:vMerge w:val="restart"/>
            <w:vAlign w:val="center"/>
          </w:tcPr>
          <w:p w14:paraId="6633D055"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0.729</w:t>
            </w:r>
          </w:p>
        </w:tc>
        <w:tc>
          <w:tcPr>
            <w:tcW w:w="1134" w:type="dxa"/>
            <w:vMerge w:val="restart"/>
            <w:vAlign w:val="center"/>
          </w:tcPr>
          <w:p w14:paraId="6CCC3C72"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0.01</w:t>
            </w:r>
          </w:p>
        </w:tc>
        <w:tc>
          <w:tcPr>
            <w:tcW w:w="2268" w:type="dxa"/>
            <w:vMerge w:val="restart"/>
            <w:vAlign w:val="center"/>
          </w:tcPr>
          <w:p w14:paraId="7237CD02"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**Significant</w:t>
            </w:r>
          </w:p>
        </w:tc>
      </w:tr>
      <w:tr w:rsidR="00B9166F" w:rsidRPr="00D03FD0" w14:paraId="3AB4F26C" w14:textId="77777777" w:rsidTr="00F830C4">
        <w:trPr>
          <w:trHeight w:val="363"/>
          <w:jc w:val="center"/>
        </w:trPr>
        <w:tc>
          <w:tcPr>
            <w:tcW w:w="1522" w:type="dxa"/>
            <w:gridSpan w:val="2"/>
            <w:vAlign w:val="center"/>
          </w:tcPr>
          <w:p w14:paraId="3A849812"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TNF α</w:t>
            </w:r>
          </w:p>
        </w:tc>
        <w:tc>
          <w:tcPr>
            <w:tcW w:w="1025" w:type="dxa"/>
            <w:vMerge/>
            <w:vAlign w:val="center"/>
          </w:tcPr>
          <w:p w14:paraId="0BCACBCD" w14:textId="77777777" w:rsidR="00B9166F" w:rsidRPr="00D03FD0" w:rsidRDefault="00B9166F" w:rsidP="00A72CDE">
            <w:pPr>
              <w:jc w:val="center"/>
              <w:rPr>
                <w:rFonts w:cstheme="majorBidi"/>
                <w:color w:val="auto"/>
                <w:sz w:val="20"/>
                <w:szCs w:val="20"/>
              </w:rPr>
            </w:pPr>
          </w:p>
        </w:tc>
        <w:tc>
          <w:tcPr>
            <w:tcW w:w="1559" w:type="dxa"/>
            <w:vMerge/>
            <w:vAlign w:val="center"/>
          </w:tcPr>
          <w:p w14:paraId="7DF9221A" w14:textId="77777777" w:rsidR="00B9166F" w:rsidRPr="00D03FD0" w:rsidRDefault="00B9166F" w:rsidP="00A72CDE">
            <w:pPr>
              <w:jc w:val="center"/>
              <w:rPr>
                <w:rFonts w:cstheme="majorBidi"/>
                <w:color w:val="auto"/>
                <w:sz w:val="20"/>
                <w:szCs w:val="20"/>
              </w:rPr>
            </w:pPr>
          </w:p>
        </w:tc>
        <w:tc>
          <w:tcPr>
            <w:tcW w:w="1134" w:type="dxa"/>
            <w:vMerge/>
            <w:vAlign w:val="center"/>
          </w:tcPr>
          <w:p w14:paraId="599E4D35" w14:textId="77777777" w:rsidR="00B9166F" w:rsidRPr="00D03FD0" w:rsidRDefault="00B9166F" w:rsidP="00A72CDE">
            <w:pPr>
              <w:jc w:val="center"/>
              <w:rPr>
                <w:rFonts w:cstheme="majorBidi"/>
                <w:color w:val="auto"/>
                <w:sz w:val="20"/>
                <w:szCs w:val="20"/>
              </w:rPr>
            </w:pPr>
          </w:p>
        </w:tc>
        <w:tc>
          <w:tcPr>
            <w:tcW w:w="2268" w:type="dxa"/>
            <w:vMerge/>
            <w:vAlign w:val="center"/>
          </w:tcPr>
          <w:p w14:paraId="2904DD92" w14:textId="77777777" w:rsidR="00B9166F" w:rsidRPr="00D03FD0" w:rsidRDefault="00B9166F" w:rsidP="00A72CDE">
            <w:pPr>
              <w:jc w:val="center"/>
              <w:rPr>
                <w:rFonts w:cstheme="majorBidi"/>
                <w:color w:val="auto"/>
                <w:sz w:val="20"/>
                <w:szCs w:val="20"/>
              </w:rPr>
            </w:pPr>
          </w:p>
        </w:tc>
      </w:tr>
      <w:tr w:rsidR="00B9166F" w:rsidRPr="00D03FD0" w14:paraId="32EFBF1F" w14:textId="77777777" w:rsidTr="00F830C4">
        <w:trPr>
          <w:trHeight w:val="440"/>
          <w:jc w:val="center"/>
        </w:trPr>
        <w:tc>
          <w:tcPr>
            <w:tcW w:w="1522" w:type="dxa"/>
            <w:gridSpan w:val="2"/>
            <w:vAlign w:val="center"/>
          </w:tcPr>
          <w:p w14:paraId="4AC4DE8B"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DAS 28</w:t>
            </w:r>
          </w:p>
        </w:tc>
        <w:tc>
          <w:tcPr>
            <w:tcW w:w="1025" w:type="dxa"/>
            <w:vMerge w:val="restart"/>
            <w:vAlign w:val="center"/>
          </w:tcPr>
          <w:p w14:paraId="7D9A5502" w14:textId="7854A488" w:rsidR="00B9166F" w:rsidRPr="00D03FD0" w:rsidRDefault="000A0704" w:rsidP="00A72CDE">
            <w:pPr>
              <w:jc w:val="center"/>
              <w:rPr>
                <w:rFonts w:cstheme="majorBidi"/>
                <w:color w:val="auto"/>
                <w:sz w:val="20"/>
                <w:szCs w:val="20"/>
              </w:rPr>
            </w:pPr>
            <w:r w:rsidRPr="00D03FD0">
              <w:rPr>
                <w:rFonts w:cstheme="majorBidi"/>
                <w:color w:val="auto"/>
                <w:sz w:val="20"/>
                <w:szCs w:val="20"/>
              </w:rPr>
              <w:t>A</w:t>
            </w:r>
            <w:r w:rsidR="00B9166F" w:rsidRPr="00D03FD0">
              <w:rPr>
                <w:rFonts w:cstheme="majorBidi"/>
                <w:color w:val="auto"/>
                <w:sz w:val="20"/>
                <w:szCs w:val="20"/>
              </w:rPr>
              <w:t>fter</w:t>
            </w:r>
          </w:p>
        </w:tc>
        <w:tc>
          <w:tcPr>
            <w:tcW w:w="1559" w:type="dxa"/>
            <w:vMerge w:val="restart"/>
            <w:vAlign w:val="center"/>
          </w:tcPr>
          <w:p w14:paraId="24BC17C1"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-0.014</w:t>
            </w:r>
          </w:p>
        </w:tc>
        <w:tc>
          <w:tcPr>
            <w:tcW w:w="1134" w:type="dxa"/>
            <w:vMerge w:val="restart"/>
            <w:vAlign w:val="center"/>
          </w:tcPr>
          <w:p w14:paraId="5EE7FB7D"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0.9281</w:t>
            </w:r>
          </w:p>
        </w:tc>
        <w:tc>
          <w:tcPr>
            <w:tcW w:w="2268" w:type="dxa"/>
            <w:vMerge w:val="restart"/>
            <w:vAlign w:val="center"/>
          </w:tcPr>
          <w:p w14:paraId="04A7C2FB"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Not Significant</w:t>
            </w:r>
          </w:p>
        </w:tc>
      </w:tr>
      <w:tr w:rsidR="00B9166F" w:rsidRPr="00D03FD0" w14:paraId="65388AF6" w14:textId="77777777" w:rsidTr="00F830C4">
        <w:trPr>
          <w:trHeight w:val="235"/>
          <w:jc w:val="center"/>
        </w:trPr>
        <w:tc>
          <w:tcPr>
            <w:tcW w:w="1522" w:type="dxa"/>
            <w:gridSpan w:val="2"/>
            <w:vAlign w:val="center"/>
          </w:tcPr>
          <w:p w14:paraId="3283DAF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lastRenderedPageBreak/>
              <w:t>TNF α</w:t>
            </w:r>
          </w:p>
        </w:tc>
        <w:tc>
          <w:tcPr>
            <w:tcW w:w="1025" w:type="dxa"/>
            <w:vMerge/>
            <w:vAlign w:val="center"/>
          </w:tcPr>
          <w:p w14:paraId="0774BD68" w14:textId="77777777" w:rsidR="00B9166F" w:rsidRPr="00D03FD0" w:rsidRDefault="00B9166F" w:rsidP="00A72CDE">
            <w:pPr>
              <w:jc w:val="center"/>
              <w:rPr>
                <w:rFonts w:cstheme="majorBidi"/>
                <w:color w:val="auto"/>
                <w:sz w:val="20"/>
                <w:szCs w:val="20"/>
              </w:rPr>
            </w:pPr>
          </w:p>
        </w:tc>
        <w:tc>
          <w:tcPr>
            <w:tcW w:w="1559" w:type="dxa"/>
            <w:vMerge/>
            <w:vAlign w:val="center"/>
          </w:tcPr>
          <w:p w14:paraId="2492F9AD" w14:textId="77777777" w:rsidR="00B9166F" w:rsidRPr="00D03FD0" w:rsidRDefault="00B9166F" w:rsidP="00A72CDE">
            <w:pPr>
              <w:jc w:val="center"/>
              <w:rPr>
                <w:rFonts w:cstheme="majorBidi"/>
                <w:color w:val="auto"/>
                <w:sz w:val="20"/>
                <w:szCs w:val="20"/>
              </w:rPr>
            </w:pPr>
          </w:p>
        </w:tc>
        <w:tc>
          <w:tcPr>
            <w:tcW w:w="1134" w:type="dxa"/>
            <w:vMerge/>
            <w:vAlign w:val="center"/>
          </w:tcPr>
          <w:p w14:paraId="358132D9" w14:textId="77777777" w:rsidR="00B9166F" w:rsidRPr="00D03FD0" w:rsidRDefault="00B9166F" w:rsidP="00A72CDE">
            <w:pPr>
              <w:jc w:val="center"/>
              <w:rPr>
                <w:rFonts w:cstheme="majorBidi"/>
                <w:color w:val="auto"/>
                <w:sz w:val="20"/>
                <w:szCs w:val="20"/>
              </w:rPr>
            </w:pPr>
          </w:p>
        </w:tc>
        <w:tc>
          <w:tcPr>
            <w:tcW w:w="2268" w:type="dxa"/>
            <w:vMerge/>
            <w:vAlign w:val="center"/>
          </w:tcPr>
          <w:p w14:paraId="38886FDF" w14:textId="77777777" w:rsidR="00B9166F" w:rsidRPr="00D03FD0" w:rsidRDefault="00B9166F" w:rsidP="00A72CDE">
            <w:pPr>
              <w:jc w:val="center"/>
              <w:rPr>
                <w:rFonts w:cstheme="majorBidi"/>
                <w:color w:val="auto"/>
                <w:sz w:val="20"/>
                <w:szCs w:val="20"/>
              </w:rPr>
            </w:pPr>
          </w:p>
        </w:tc>
      </w:tr>
      <w:tr w:rsidR="00B9166F" w:rsidRPr="00D03FD0" w14:paraId="740BE21D" w14:textId="77777777" w:rsidTr="00F830C4">
        <w:trPr>
          <w:trHeight w:val="299"/>
          <w:jc w:val="center"/>
        </w:trPr>
        <w:tc>
          <w:tcPr>
            <w:tcW w:w="1522" w:type="dxa"/>
            <w:gridSpan w:val="2"/>
            <w:vAlign w:val="center"/>
          </w:tcPr>
          <w:p w14:paraId="4537EE1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DAS 28</w:t>
            </w:r>
          </w:p>
        </w:tc>
        <w:tc>
          <w:tcPr>
            <w:tcW w:w="1025" w:type="dxa"/>
            <w:vMerge w:val="restart"/>
            <w:vAlign w:val="center"/>
          </w:tcPr>
          <w:p w14:paraId="0DB693D9" w14:textId="3E66F117" w:rsidR="00B9166F" w:rsidRPr="00D03FD0" w:rsidRDefault="000A0704" w:rsidP="00A72CDE">
            <w:pPr>
              <w:jc w:val="center"/>
              <w:rPr>
                <w:rFonts w:cstheme="majorBidi"/>
                <w:color w:val="auto"/>
                <w:sz w:val="20"/>
                <w:szCs w:val="20"/>
              </w:rPr>
            </w:pPr>
            <w:r w:rsidRPr="00D03FD0">
              <w:rPr>
                <w:rFonts w:cstheme="majorBidi"/>
                <w:color w:val="auto"/>
                <w:sz w:val="20"/>
                <w:szCs w:val="20"/>
              </w:rPr>
              <w:t>B</w:t>
            </w:r>
            <w:r w:rsidR="00B9166F" w:rsidRPr="00D03FD0">
              <w:rPr>
                <w:rFonts w:cstheme="majorBidi"/>
                <w:color w:val="auto"/>
                <w:sz w:val="20"/>
                <w:szCs w:val="20"/>
              </w:rPr>
              <w:t>efore</w:t>
            </w:r>
          </w:p>
        </w:tc>
        <w:tc>
          <w:tcPr>
            <w:tcW w:w="1559" w:type="dxa"/>
            <w:vMerge w:val="restart"/>
            <w:vAlign w:val="center"/>
          </w:tcPr>
          <w:p w14:paraId="30529FF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-0.135</w:t>
            </w:r>
          </w:p>
        </w:tc>
        <w:tc>
          <w:tcPr>
            <w:tcW w:w="1134" w:type="dxa"/>
            <w:vMerge w:val="restart"/>
            <w:vAlign w:val="center"/>
          </w:tcPr>
          <w:p w14:paraId="6CD04A34"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0.3783</w:t>
            </w:r>
          </w:p>
        </w:tc>
        <w:tc>
          <w:tcPr>
            <w:tcW w:w="2268" w:type="dxa"/>
            <w:vMerge w:val="restart"/>
            <w:vAlign w:val="center"/>
          </w:tcPr>
          <w:p w14:paraId="0DBBADEC"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Not Significant</w:t>
            </w:r>
          </w:p>
        </w:tc>
      </w:tr>
      <w:tr w:rsidR="00B9166F" w:rsidRPr="00D03FD0" w14:paraId="05D76594" w14:textId="77777777" w:rsidTr="00F830C4">
        <w:trPr>
          <w:trHeight w:val="249"/>
          <w:jc w:val="center"/>
        </w:trPr>
        <w:tc>
          <w:tcPr>
            <w:tcW w:w="1522" w:type="dxa"/>
            <w:gridSpan w:val="2"/>
            <w:vAlign w:val="center"/>
          </w:tcPr>
          <w:p w14:paraId="06EE7943"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Anti-CCP</w:t>
            </w:r>
          </w:p>
        </w:tc>
        <w:tc>
          <w:tcPr>
            <w:tcW w:w="1025" w:type="dxa"/>
            <w:vMerge/>
            <w:vAlign w:val="center"/>
          </w:tcPr>
          <w:p w14:paraId="05AEA33C" w14:textId="77777777" w:rsidR="00B9166F" w:rsidRPr="00D03FD0" w:rsidRDefault="00B9166F" w:rsidP="00A72CDE">
            <w:pPr>
              <w:jc w:val="center"/>
              <w:rPr>
                <w:rFonts w:cstheme="majorBidi"/>
                <w:color w:val="auto"/>
                <w:sz w:val="20"/>
                <w:szCs w:val="20"/>
              </w:rPr>
            </w:pPr>
          </w:p>
        </w:tc>
        <w:tc>
          <w:tcPr>
            <w:tcW w:w="1559" w:type="dxa"/>
            <w:vMerge/>
            <w:vAlign w:val="center"/>
          </w:tcPr>
          <w:p w14:paraId="17B8E880" w14:textId="77777777" w:rsidR="00B9166F" w:rsidRPr="00D03FD0" w:rsidRDefault="00B9166F" w:rsidP="00A72CDE">
            <w:pPr>
              <w:jc w:val="center"/>
              <w:rPr>
                <w:rFonts w:cstheme="majorBidi"/>
                <w:color w:val="auto"/>
                <w:sz w:val="20"/>
                <w:szCs w:val="20"/>
              </w:rPr>
            </w:pPr>
          </w:p>
        </w:tc>
        <w:tc>
          <w:tcPr>
            <w:tcW w:w="1134" w:type="dxa"/>
            <w:vMerge/>
            <w:vAlign w:val="center"/>
          </w:tcPr>
          <w:p w14:paraId="2BBC36B7" w14:textId="77777777" w:rsidR="00B9166F" w:rsidRPr="00D03FD0" w:rsidRDefault="00B9166F" w:rsidP="00A72CDE">
            <w:pPr>
              <w:jc w:val="center"/>
              <w:rPr>
                <w:rFonts w:cstheme="majorBidi"/>
                <w:color w:val="auto"/>
                <w:sz w:val="20"/>
                <w:szCs w:val="20"/>
              </w:rPr>
            </w:pPr>
          </w:p>
        </w:tc>
        <w:tc>
          <w:tcPr>
            <w:tcW w:w="2268" w:type="dxa"/>
            <w:vMerge/>
            <w:vAlign w:val="center"/>
          </w:tcPr>
          <w:p w14:paraId="6E8BD781" w14:textId="77777777" w:rsidR="00B9166F" w:rsidRPr="00D03FD0" w:rsidRDefault="00B9166F" w:rsidP="00A72CDE">
            <w:pPr>
              <w:jc w:val="center"/>
              <w:rPr>
                <w:rFonts w:cstheme="majorBidi"/>
                <w:color w:val="auto"/>
                <w:sz w:val="20"/>
                <w:szCs w:val="20"/>
              </w:rPr>
            </w:pPr>
          </w:p>
        </w:tc>
      </w:tr>
      <w:tr w:rsidR="00B9166F" w:rsidRPr="00D03FD0" w14:paraId="06CCF731" w14:textId="77777777" w:rsidTr="00F830C4">
        <w:trPr>
          <w:trHeight w:val="401"/>
          <w:jc w:val="center"/>
        </w:trPr>
        <w:tc>
          <w:tcPr>
            <w:tcW w:w="1522" w:type="dxa"/>
            <w:gridSpan w:val="2"/>
            <w:vAlign w:val="center"/>
          </w:tcPr>
          <w:p w14:paraId="3360A007"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DAS28</w:t>
            </w:r>
          </w:p>
        </w:tc>
        <w:tc>
          <w:tcPr>
            <w:tcW w:w="1025" w:type="dxa"/>
            <w:vMerge w:val="restart"/>
            <w:vAlign w:val="center"/>
          </w:tcPr>
          <w:p w14:paraId="1CE80E67" w14:textId="2A63F530" w:rsidR="00B9166F" w:rsidRPr="00D03FD0" w:rsidRDefault="000A0704" w:rsidP="00A72CDE">
            <w:pPr>
              <w:jc w:val="center"/>
              <w:rPr>
                <w:rFonts w:cstheme="majorBidi"/>
                <w:color w:val="auto"/>
                <w:sz w:val="20"/>
                <w:szCs w:val="20"/>
              </w:rPr>
            </w:pPr>
            <w:r w:rsidRPr="00D03FD0">
              <w:rPr>
                <w:rFonts w:cstheme="majorBidi"/>
                <w:color w:val="auto"/>
                <w:sz w:val="20"/>
                <w:szCs w:val="20"/>
              </w:rPr>
              <w:t>A</w:t>
            </w:r>
            <w:r w:rsidR="00B9166F" w:rsidRPr="00D03FD0">
              <w:rPr>
                <w:rFonts w:cstheme="majorBidi"/>
                <w:color w:val="auto"/>
                <w:sz w:val="20"/>
                <w:szCs w:val="20"/>
              </w:rPr>
              <w:t>fter</w:t>
            </w:r>
          </w:p>
        </w:tc>
        <w:tc>
          <w:tcPr>
            <w:tcW w:w="1559" w:type="dxa"/>
            <w:vMerge w:val="restart"/>
            <w:vAlign w:val="center"/>
          </w:tcPr>
          <w:p w14:paraId="0D7D4170"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-0.454</w:t>
            </w:r>
          </w:p>
        </w:tc>
        <w:tc>
          <w:tcPr>
            <w:tcW w:w="1134" w:type="dxa"/>
            <w:vMerge w:val="restart"/>
            <w:vAlign w:val="center"/>
          </w:tcPr>
          <w:p w14:paraId="19442C1F"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&lt; 0.01</w:t>
            </w:r>
          </w:p>
        </w:tc>
        <w:tc>
          <w:tcPr>
            <w:tcW w:w="2268" w:type="dxa"/>
            <w:vMerge w:val="restart"/>
            <w:vAlign w:val="center"/>
          </w:tcPr>
          <w:p w14:paraId="675D7135"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**Significant</w:t>
            </w:r>
          </w:p>
        </w:tc>
      </w:tr>
      <w:tr w:rsidR="00B9166F" w:rsidRPr="00D03FD0" w14:paraId="65528DB2" w14:textId="77777777" w:rsidTr="00F830C4">
        <w:trPr>
          <w:trHeight w:val="295"/>
          <w:jc w:val="center"/>
        </w:trPr>
        <w:tc>
          <w:tcPr>
            <w:tcW w:w="1522" w:type="dxa"/>
            <w:gridSpan w:val="2"/>
            <w:vAlign w:val="center"/>
          </w:tcPr>
          <w:p w14:paraId="0033CCB9"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Anti-CCP</w:t>
            </w:r>
          </w:p>
        </w:tc>
        <w:tc>
          <w:tcPr>
            <w:tcW w:w="1025" w:type="dxa"/>
            <w:vMerge/>
            <w:vAlign w:val="center"/>
          </w:tcPr>
          <w:p w14:paraId="5E419857" w14:textId="77777777" w:rsidR="00B9166F" w:rsidRPr="00D03FD0" w:rsidRDefault="00B9166F" w:rsidP="00A72CDE">
            <w:pPr>
              <w:jc w:val="center"/>
              <w:rPr>
                <w:rFonts w:cstheme="majorBidi"/>
                <w:color w:val="auto"/>
                <w:sz w:val="20"/>
                <w:szCs w:val="20"/>
              </w:rPr>
            </w:pPr>
          </w:p>
        </w:tc>
        <w:tc>
          <w:tcPr>
            <w:tcW w:w="1559" w:type="dxa"/>
            <w:vMerge/>
            <w:vAlign w:val="center"/>
          </w:tcPr>
          <w:p w14:paraId="157E3839" w14:textId="77777777" w:rsidR="00B9166F" w:rsidRPr="00D03FD0" w:rsidRDefault="00B9166F" w:rsidP="00A72CDE">
            <w:pPr>
              <w:jc w:val="center"/>
              <w:rPr>
                <w:rFonts w:cstheme="majorBidi"/>
                <w:color w:val="auto"/>
                <w:sz w:val="20"/>
                <w:szCs w:val="20"/>
              </w:rPr>
            </w:pPr>
          </w:p>
        </w:tc>
        <w:tc>
          <w:tcPr>
            <w:tcW w:w="1134" w:type="dxa"/>
            <w:vMerge/>
            <w:vAlign w:val="center"/>
          </w:tcPr>
          <w:p w14:paraId="263F92D0" w14:textId="77777777" w:rsidR="00B9166F" w:rsidRPr="00D03FD0" w:rsidRDefault="00B9166F" w:rsidP="00A72CDE">
            <w:pPr>
              <w:jc w:val="center"/>
              <w:rPr>
                <w:rFonts w:cstheme="majorBidi"/>
                <w:color w:val="auto"/>
                <w:sz w:val="20"/>
                <w:szCs w:val="20"/>
              </w:rPr>
            </w:pPr>
          </w:p>
        </w:tc>
        <w:tc>
          <w:tcPr>
            <w:tcW w:w="2268" w:type="dxa"/>
            <w:vMerge/>
            <w:vAlign w:val="center"/>
          </w:tcPr>
          <w:p w14:paraId="6FF00090" w14:textId="77777777" w:rsidR="00B9166F" w:rsidRPr="00D03FD0" w:rsidRDefault="00B9166F" w:rsidP="00A72CDE">
            <w:pPr>
              <w:jc w:val="center"/>
              <w:rPr>
                <w:rFonts w:cstheme="majorBidi"/>
                <w:color w:val="auto"/>
                <w:sz w:val="20"/>
                <w:szCs w:val="20"/>
              </w:rPr>
            </w:pPr>
          </w:p>
        </w:tc>
      </w:tr>
      <w:tr w:rsidR="00B9166F" w:rsidRPr="00D03FD0" w14:paraId="41C27B15" w14:textId="77777777" w:rsidTr="00F830C4">
        <w:trPr>
          <w:trHeight w:val="315"/>
          <w:jc w:val="center"/>
        </w:trPr>
        <w:tc>
          <w:tcPr>
            <w:tcW w:w="1522" w:type="dxa"/>
            <w:gridSpan w:val="2"/>
            <w:vAlign w:val="center"/>
          </w:tcPr>
          <w:p w14:paraId="2B12C965"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DAS28</w:t>
            </w:r>
          </w:p>
        </w:tc>
        <w:tc>
          <w:tcPr>
            <w:tcW w:w="1025" w:type="dxa"/>
            <w:vMerge w:val="restart"/>
            <w:vAlign w:val="center"/>
          </w:tcPr>
          <w:p w14:paraId="0AC4F878" w14:textId="4A4F721C" w:rsidR="00B9166F" w:rsidRPr="00D03FD0" w:rsidRDefault="000A0704" w:rsidP="00A72CDE">
            <w:pPr>
              <w:jc w:val="center"/>
              <w:rPr>
                <w:rFonts w:cstheme="majorBidi"/>
                <w:color w:val="auto"/>
                <w:sz w:val="20"/>
                <w:szCs w:val="20"/>
              </w:rPr>
            </w:pPr>
            <w:r w:rsidRPr="00D03FD0">
              <w:rPr>
                <w:rFonts w:cstheme="majorBidi"/>
                <w:color w:val="auto"/>
                <w:sz w:val="20"/>
                <w:szCs w:val="20"/>
              </w:rPr>
              <w:t>B</w:t>
            </w:r>
            <w:r w:rsidR="00B9166F" w:rsidRPr="00D03FD0">
              <w:rPr>
                <w:rFonts w:cstheme="majorBidi"/>
                <w:color w:val="auto"/>
                <w:sz w:val="20"/>
                <w:szCs w:val="20"/>
              </w:rPr>
              <w:t>efore</w:t>
            </w:r>
          </w:p>
        </w:tc>
        <w:tc>
          <w:tcPr>
            <w:tcW w:w="1559" w:type="dxa"/>
            <w:vMerge w:val="restart"/>
            <w:vAlign w:val="center"/>
          </w:tcPr>
          <w:p w14:paraId="417CBFBA"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-0.13</w:t>
            </w:r>
          </w:p>
        </w:tc>
        <w:tc>
          <w:tcPr>
            <w:tcW w:w="1134" w:type="dxa"/>
            <w:vMerge w:val="restart"/>
            <w:vAlign w:val="center"/>
          </w:tcPr>
          <w:p w14:paraId="69D41BE2"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0.3961</w:t>
            </w:r>
          </w:p>
        </w:tc>
        <w:tc>
          <w:tcPr>
            <w:tcW w:w="2268" w:type="dxa"/>
            <w:vMerge w:val="restart"/>
            <w:vAlign w:val="center"/>
          </w:tcPr>
          <w:p w14:paraId="093E9ABA"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Not Significant</w:t>
            </w:r>
          </w:p>
        </w:tc>
      </w:tr>
      <w:tr w:rsidR="00B9166F" w:rsidRPr="00D03FD0" w14:paraId="615FF1DF" w14:textId="77777777" w:rsidTr="00F830C4">
        <w:trPr>
          <w:trHeight w:val="265"/>
          <w:jc w:val="center"/>
        </w:trPr>
        <w:tc>
          <w:tcPr>
            <w:tcW w:w="1522" w:type="dxa"/>
            <w:gridSpan w:val="2"/>
            <w:vAlign w:val="center"/>
          </w:tcPr>
          <w:p w14:paraId="5CF8A03B"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ADA</w:t>
            </w:r>
          </w:p>
        </w:tc>
        <w:tc>
          <w:tcPr>
            <w:tcW w:w="1025" w:type="dxa"/>
            <w:vMerge/>
            <w:vAlign w:val="center"/>
          </w:tcPr>
          <w:p w14:paraId="4927DBD6" w14:textId="77777777" w:rsidR="00B9166F" w:rsidRPr="00D03FD0" w:rsidRDefault="00B9166F" w:rsidP="00A72CDE">
            <w:pPr>
              <w:jc w:val="center"/>
              <w:rPr>
                <w:rFonts w:cstheme="majorBidi"/>
                <w:color w:val="auto"/>
                <w:sz w:val="20"/>
                <w:szCs w:val="20"/>
              </w:rPr>
            </w:pPr>
          </w:p>
        </w:tc>
        <w:tc>
          <w:tcPr>
            <w:tcW w:w="1559" w:type="dxa"/>
            <w:vMerge/>
            <w:vAlign w:val="center"/>
          </w:tcPr>
          <w:p w14:paraId="192989DF" w14:textId="77777777" w:rsidR="00B9166F" w:rsidRPr="00D03FD0" w:rsidRDefault="00B9166F" w:rsidP="00A72CDE">
            <w:pPr>
              <w:jc w:val="center"/>
              <w:rPr>
                <w:rFonts w:cstheme="majorBidi"/>
                <w:color w:val="auto"/>
                <w:sz w:val="20"/>
                <w:szCs w:val="20"/>
              </w:rPr>
            </w:pPr>
          </w:p>
        </w:tc>
        <w:tc>
          <w:tcPr>
            <w:tcW w:w="1134" w:type="dxa"/>
            <w:vMerge/>
            <w:vAlign w:val="center"/>
          </w:tcPr>
          <w:p w14:paraId="699ADD6B" w14:textId="77777777" w:rsidR="00B9166F" w:rsidRPr="00D03FD0" w:rsidRDefault="00B9166F" w:rsidP="00A72CDE">
            <w:pPr>
              <w:jc w:val="center"/>
              <w:rPr>
                <w:rFonts w:cstheme="majorBidi"/>
                <w:color w:val="auto"/>
                <w:sz w:val="20"/>
                <w:szCs w:val="20"/>
              </w:rPr>
            </w:pPr>
          </w:p>
        </w:tc>
        <w:tc>
          <w:tcPr>
            <w:tcW w:w="2268" w:type="dxa"/>
            <w:vMerge/>
            <w:vAlign w:val="center"/>
          </w:tcPr>
          <w:p w14:paraId="752D2E8E" w14:textId="77777777" w:rsidR="00B9166F" w:rsidRPr="00D03FD0" w:rsidRDefault="00B9166F" w:rsidP="00A72CDE">
            <w:pPr>
              <w:jc w:val="center"/>
              <w:rPr>
                <w:rFonts w:cstheme="majorBidi"/>
                <w:color w:val="auto"/>
                <w:sz w:val="20"/>
                <w:szCs w:val="20"/>
              </w:rPr>
            </w:pPr>
          </w:p>
        </w:tc>
      </w:tr>
      <w:tr w:rsidR="00B9166F" w:rsidRPr="00D03FD0" w14:paraId="7ABC024D" w14:textId="77777777" w:rsidTr="00F830C4">
        <w:trPr>
          <w:trHeight w:val="291"/>
          <w:jc w:val="center"/>
        </w:trPr>
        <w:tc>
          <w:tcPr>
            <w:tcW w:w="1515" w:type="dxa"/>
            <w:vAlign w:val="center"/>
          </w:tcPr>
          <w:p w14:paraId="38CEF49E"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DAS 28</w:t>
            </w:r>
          </w:p>
        </w:tc>
        <w:tc>
          <w:tcPr>
            <w:tcW w:w="1032" w:type="dxa"/>
            <w:gridSpan w:val="2"/>
            <w:vMerge w:val="restart"/>
            <w:vAlign w:val="center"/>
          </w:tcPr>
          <w:p w14:paraId="768B2DDB" w14:textId="08965FFA" w:rsidR="00B9166F" w:rsidRPr="00D03FD0" w:rsidRDefault="000A0704" w:rsidP="00A72CDE">
            <w:pPr>
              <w:jc w:val="center"/>
              <w:rPr>
                <w:rFonts w:cstheme="majorBidi"/>
                <w:color w:val="auto"/>
                <w:sz w:val="20"/>
                <w:szCs w:val="20"/>
              </w:rPr>
            </w:pPr>
            <w:r w:rsidRPr="00D03FD0">
              <w:rPr>
                <w:rFonts w:cstheme="majorBidi"/>
                <w:color w:val="auto"/>
                <w:sz w:val="20"/>
                <w:szCs w:val="20"/>
              </w:rPr>
              <w:t>A</w:t>
            </w:r>
            <w:r w:rsidR="00B9166F" w:rsidRPr="00D03FD0">
              <w:rPr>
                <w:rFonts w:cstheme="majorBidi"/>
                <w:color w:val="auto"/>
                <w:sz w:val="20"/>
                <w:szCs w:val="20"/>
              </w:rPr>
              <w:t>fter</w:t>
            </w:r>
          </w:p>
        </w:tc>
        <w:tc>
          <w:tcPr>
            <w:tcW w:w="1559" w:type="dxa"/>
            <w:vMerge w:val="restart"/>
            <w:vAlign w:val="center"/>
          </w:tcPr>
          <w:p w14:paraId="546B304E"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-0.156</w:t>
            </w:r>
          </w:p>
        </w:tc>
        <w:tc>
          <w:tcPr>
            <w:tcW w:w="1134" w:type="dxa"/>
            <w:vMerge w:val="restart"/>
            <w:vAlign w:val="center"/>
          </w:tcPr>
          <w:p w14:paraId="2F290305"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0.3076</w:t>
            </w:r>
          </w:p>
        </w:tc>
        <w:tc>
          <w:tcPr>
            <w:tcW w:w="2268" w:type="dxa"/>
            <w:vMerge w:val="restart"/>
            <w:vAlign w:val="center"/>
          </w:tcPr>
          <w:p w14:paraId="536592C2" w14:textId="77777777" w:rsidR="00B9166F" w:rsidRPr="00D03FD0" w:rsidRDefault="00B9166F" w:rsidP="00A72CDE">
            <w:pPr>
              <w:jc w:val="center"/>
              <w:rPr>
                <w:rFonts w:cstheme="majorBidi"/>
                <w:color w:val="auto"/>
                <w:sz w:val="20"/>
                <w:szCs w:val="20"/>
              </w:rPr>
            </w:pPr>
            <w:r w:rsidRPr="00D03FD0">
              <w:rPr>
                <w:rFonts w:cstheme="majorBidi"/>
                <w:color w:val="auto"/>
                <w:sz w:val="20"/>
                <w:szCs w:val="20"/>
              </w:rPr>
              <w:t>Not Significant</w:t>
            </w:r>
          </w:p>
        </w:tc>
      </w:tr>
      <w:tr w:rsidR="00B9166F" w:rsidRPr="00D03FD0" w14:paraId="5EA18D8D" w14:textId="77777777" w:rsidTr="00F830C4">
        <w:trPr>
          <w:trHeight w:val="267"/>
          <w:jc w:val="center"/>
        </w:trPr>
        <w:tc>
          <w:tcPr>
            <w:tcW w:w="1515" w:type="dxa"/>
            <w:vAlign w:val="center"/>
          </w:tcPr>
          <w:p w14:paraId="19B13E68" w14:textId="77777777" w:rsidR="00B9166F" w:rsidRPr="00D03FD0" w:rsidRDefault="00B9166F" w:rsidP="00A72CDE">
            <w:pPr>
              <w:spacing w:after="160"/>
              <w:jc w:val="center"/>
              <w:rPr>
                <w:rFonts w:cstheme="majorBidi"/>
                <w:color w:val="auto"/>
                <w:sz w:val="20"/>
                <w:szCs w:val="20"/>
              </w:rPr>
            </w:pPr>
            <w:r w:rsidRPr="00D03FD0">
              <w:rPr>
                <w:rFonts w:cstheme="majorBidi"/>
                <w:color w:val="auto"/>
                <w:sz w:val="20"/>
                <w:szCs w:val="20"/>
              </w:rPr>
              <w:t>ADA</w:t>
            </w:r>
          </w:p>
        </w:tc>
        <w:tc>
          <w:tcPr>
            <w:tcW w:w="1032" w:type="dxa"/>
            <w:gridSpan w:val="2"/>
            <w:vMerge/>
            <w:vAlign w:val="center"/>
          </w:tcPr>
          <w:p w14:paraId="3FB3EE21" w14:textId="77777777" w:rsidR="00B9166F" w:rsidRPr="00D03FD0" w:rsidRDefault="00B9166F" w:rsidP="00A72CDE">
            <w:pPr>
              <w:spacing w:after="160"/>
              <w:jc w:val="center"/>
              <w:rPr>
                <w:rFonts w:cstheme="majorBidi"/>
                <w:color w:val="auto"/>
                <w:sz w:val="20"/>
                <w:szCs w:val="20"/>
              </w:rPr>
            </w:pPr>
          </w:p>
        </w:tc>
        <w:tc>
          <w:tcPr>
            <w:tcW w:w="1559" w:type="dxa"/>
            <w:vMerge/>
            <w:vAlign w:val="center"/>
          </w:tcPr>
          <w:p w14:paraId="74C3335D" w14:textId="77777777" w:rsidR="00B9166F" w:rsidRPr="00D03FD0" w:rsidRDefault="00B9166F" w:rsidP="00A72CDE">
            <w:pPr>
              <w:spacing w:after="160"/>
              <w:jc w:val="center"/>
              <w:rPr>
                <w:rFonts w:cstheme="majorBidi"/>
                <w:color w:val="auto"/>
                <w:sz w:val="20"/>
                <w:szCs w:val="20"/>
              </w:rPr>
            </w:pPr>
          </w:p>
        </w:tc>
        <w:tc>
          <w:tcPr>
            <w:tcW w:w="1134" w:type="dxa"/>
            <w:vMerge/>
            <w:vAlign w:val="center"/>
          </w:tcPr>
          <w:p w14:paraId="7F966CA5" w14:textId="77777777" w:rsidR="00B9166F" w:rsidRPr="00D03FD0" w:rsidRDefault="00B9166F" w:rsidP="00A72CDE">
            <w:pPr>
              <w:spacing w:after="160"/>
              <w:jc w:val="center"/>
              <w:rPr>
                <w:rFonts w:cstheme="majorBidi"/>
                <w:color w:val="auto"/>
                <w:sz w:val="20"/>
                <w:szCs w:val="20"/>
              </w:rPr>
            </w:pPr>
          </w:p>
        </w:tc>
        <w:tc>
          <w:tcPr>
            <w:tcW w:w="2268" w:type="dxa"/>
            <w:vMerge/>
            <w:vAlign w:val="center"/>
          </w:tcPr>
          <w:p w14:paraId="48D2EB81" w14:textId="77777777" w:rsidR="00B9166F" w:rsidRPr="00D03FD0" w:rsidRDefault="00B9166F" w:rsidP="00A72CDE">
            <w:pPr>
              <w:spacing w:after="160"/>
              <w:jc w:val="center"/>
              <w:rPr>
                <w:rFonts w:cstheme="majorBidi"/>
                <w:color w:val="auto"/>
                <w:sz w:val="20"/>
                <w:szCs w:val="20"/>
              </w:rPr>
            </w:pPr>
          </w:p>
        </w:tc>
      </w:tr>
    </w:tbl>
    <w:p w14:paraId="4909DF6C" w14:textId="62375817" w:rsidR="00B9166F" w:rsidRPr="003D5E03" w:rsidRDefault="00B9166F" w:rsidP="00A72CDE">
      <w:pPr>
        <w:spacing w:line="240" w:lineRule="auto"/>
        <w:jc w:val="both"/>
        <w:rPr>
          <w:rFonts w:cstheme="majorBidi"/>
          <w:color w:val="auto"/>
          <w:sz w:val="20"/>
          <w:szCs w:val="20"/>
          <w:rtl/>
        </w:rPr>
      </w:pPr>
      <w:r w:rsidRPr="003D5E03">
        <w:rPr>
          <w:rFonts w:cstheme="majorBidi"/>
          <w:color w:val="auto"/>
          <w:sz w:val="20"/>
          <w:szCs w:val="20"/>
        </w:rPr>
        <w:t xml:space="preserve">*Significant at level (p &lt; 0.05) </w:t>
      </w:r>
      <w:r w:rsidRPr="003D5E03">
        <w:rPr>
          <w:rFonts w:cstheme="majorBidi"/>
          <w:color w:val="auto"/>
          <w:sz w:val="20"/>
          <w:szCs w:val="20"/>
          <w:rtl/>
        </w:rPr>
        <w:t xml:space="preserve">، </w:t>
      </w:r>
      <w:r w:rsidRPr="003D5E03">
        <w:rPr>
          <w:rFonts w:cstheme="majorBidi"/>
          <w:color w:val="auto"/>
          <w:sz w:val="20"/>
          <w:szCs w:val="20"/>
        </w:rPr>
        <w:t xml:space="preserve">** Highly significant at level (p&lt;0.01), no Significance at level (p&gt;0.05). TNF-α: </w:t>
      </w:r>
      <w:proofErr w:type="spellStart"/>
      <w:r w:rsidRPr="003D5E03">
        <w:rPr>
          <w:rFonts w:cstheme="majorBidi"/>
          <w:color w:val="auto"/>
          <w:sz w:val="20"/>
          <w:szCs w:val="20"/>
        </w:rPr>
        <w:t>Tumor</w:t>
      </w:r>
      <w:proofErr w:type="spellEnd"/>
      <w:r w:rsidRPr="003D5E03">
        <w:rPr>
          <w:rFonts w:cstheme="majorBidi"/>
          <w:color w:val="auto"/>
          <w:sz w:val="20"/>
          <w:szCs w:val="20"/>
        </w:rPr>
        <w:t xml:space="preserve"> Necrosis Factor, Anti-CCP: Anti-Cyclic Citrullinated Peptide.</w:t>
      </w:r>
    </w:p>
    <w:p w14:paraId="457D9BC9" w14:textId="3F703974" w:rsidR="00B9166F" w:rsidRDefault="00B9166F" w:rsidP="00F830C4">
      <w:pPr>
        <w:spacing w:line="240" w:lineRule="auto"/>
        <w:ind w:firstLine="720"/>
        <w:rPr>
          <w:rFonts w:cstheme="majorBidi"/>
          <w:color w:val="auto"/>
          <w:sz w:val="24"/>
        </w:rPr>
      </w:pPr>
      <w:r w:rsidRPr="00B9166F">
        <w:rPr>
          <w:rFonts w:cstheme="majorBidi"/>
          <w:color w:val="auto"/>
          <w:sz w:val="24"/>
        </w:rPr>
        <w:t xml:space="preserve">Significant correlations are highlighted in green; non-significant associations are shown in </w:t>
      </w:r>
      <w:proofErr w:type="spellStart"/>
      <w:r w:rsidRPr="00B9166F">
        <w:rPr>
          <w:rFonts w:cstheme="majorBidi"/>
          <w:color w:val="auto"/>
          <w:sz w:val="24"/>
        </w:rPr>
        <w:t>gray</w:t>
      </w:r>
      <w:proofErr w:type="spellEnd"/>
      <w:r w:rsidRPr="00B9166F">
        <w:rPr>
          <w:rFonts w:cstheme="majorBidi"/>
          <w:color w:val="auto"/>
          <w:sz w:val="24"/>
        </w:rPr>
        <w:t>. This visual confirms the dynamic relationship between disease activity and immune biomarkers, particularly TNF-α and Anti-CCP as shown in figure 1.</w:t>
      </w:r>
    </w:p>
    <w:p w14:paraId="21D40259" w14:textId="77777777" w:rsidR="00F830C4" w:rsidRPr="00B9166F" w:rsidRDefault="00F830C4" w:rsidP="00F830C4">
      <w:pPr>
        <w:spacing w:line="240" w:lineRule="auto"/>
        <w:ind w:firstLine="720"/>
        <w:rPr>
          <w:rFonts w:cstheme="majorBidi"/>
          <w:color w:val="auto"/>
          <w:sz w:val="24"/>
        </w:rPr>
      </w:pPr>
    </w:p>
    <w:p w14:paraId="7ECE38B8" w14:textId="77777777" w:rsidR="00B9166F" w:rsidRPr="00B9166F" w:rsidRDefault="00B9166F" w:rsidP="00B9166F">
      <w:pPr>
        <w:jc w:val="center"/>
        <w:rPr>
          <w:rFonts w:cstheme="majorBidi"/>
          <w:color w:val="auto"/>
          <w:sz w:val="24"/>
          <w:rtl/>
        </w:rPr>
      </w:pPr>
      <w:r w:rsidRPr="00B9166F">
        <w:rPr>
          <w:rFonts w:eastAsia="Times New Roman" w:cstheme="majorBidi"/>
          <w:noProof/>
          <w:color w:val="auto"/>
          <w:sz w:val="24"/>
          <w:lang w:eastAsia="en-GB"/>
        </w:rPr>
        <w:drawing>
          <wp:inline distT="0" distB="0" distL="0" distR="0" wp14:anchorId="687539F0" wp14:editId="46A036D5">
            <wp:extent cx="4403657" cy="2019300"/>
            <wp:effectExtent l="0" t="0" r="0" b="0"/>
            <wp:docPr id="1114551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51323" name="Picture 11145513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2416" cy="2073757"/>
                    </a:xfrm>
                    <a:prstGeom prst="rect">
                      <a:avLst/>
                    </a:prstGeom>
                  </pic:spPr>
                </pic:pic>
              </a:graphicData>
            </a:graphic>
          </wp:inline>
        </w:drawing>
      </w:r>
    </w:p>
    <w:p w14:paraId="3955D8B2" w14:textId="42BC1F25" w:rsidR="00A72CDE" w:rsidRPr="00B9166F" w:rsidRDefault="00B9166F" w:rsidP="00E81554">
      <w:pPr>
        <w:jc w:val="center"/>
        <w:rPr>
          <w:rFonts w:eastAsia="Times New Roman" w:cstheme="majorBidi"/>
          <w:color w:val="auto"/>
          <w:sz w:val="24"/>
        </w:rPr>
      </w:pPr>
      <w:r w:rsidRPr="00B9166F">
        <w:rPr>
          <w:rFonts w:eastAsia="Times New Roman" w:cstheme="majorBidi"/>
          <w:b/>
          <w:bCs/>
          <w:color w:val="auto"/>
          <w:sz w:val="24"/>
        </w:rPr>
        <w:t>Figure 1</w:t>
      </w:r>
      <w:r w:rsidRPr="00B9166F">
        <w:rPr>
          <w:rFonts w:eastAsia="Times New Roman" w:cstheme="majorBidi"/>
          <w:color w:val="auto"/>
          <w:sz w:val="24"/>
        </w:rPr>
        <w:t>:</w:t>
      </w:r>
      <w:r w:rsidRPr="00B9166F">
        <w:rPr>
          <w:rFonts w:cstheme="majorBidi"/>
          <w:color w:val="auto"/>
          <w:sz w:val="24"/>
        </w:rPr>
        <w:t xml:space="preserve"> </w:t>
      </w:r>
      <w:r w:rsidRPr="00B9166F">
        <w:rPr>
          <w:rFonts w:eastAsia="Times New Roman" w:cstheme="majorBidi"/>
          <w:color w:val="auto"/>
          <w:sz w:val="24"/>
        </w:rPr>
        <w:t>Correlation Analysis of DAS28 with Biomarkers</w:t>
      </w:r>
      <w:r w:rsidRPr="00B9166F">
        <w:rPr>
          <w:rFonts w:eastAsia="Times New Roman" w:cstheme="majorBidi"/>
          <w:color w:val="auto"/>
          <w:sz w:val="24"/>
          <w:rtl/>
        </w:rPr>
        <w:t>.</w:t>
      </w:r>
    </w:p>
    <w:p w14:paraId="543B68E6" w14:textId="77777777" w:rsidR="002605F9" w:rsidRPr="002605F9" w:rsidRDefault="002605F9" w:rsidP="005B47EF">
      <w:pPr>
        <w:pStyle w:val="NoSpacing"/>
        <w:rPr>
          <w:rFonts w:cstheme="majorBidi"/>
          <w:b/>
        </w:rPr>
      </w:pPr>
      <w:r w:rsidRPr="002605F9">
        <w:rPr>
          <w:rFonts w:cstheme="majorBidi"/>
          <w:b/>
        </w:rPr>
        <w:t xml:space="preserve">Discussion </w:t>
      </w:r>
    </w:p>
    <w:p w14:paraId="4E98FD18" w14:textId="7C5D5BFE" w:rsidR="00B9166F" w:rsidRPr="00B9166F" w:rsidRDefault="00B9166F" w:rsidP="005B47EF">
      <w:pPr>
        <w:pStyle w:val="Articalhistory"/>
        <w:spacing w:line="240" w:lineRule="auto"/>
        <w:jc w:val="both"/>
        <w:rPr>
          <w:b/>
          <w:bCs/>
          <w:i w:val="0"/>
          <w:iCs/>
        </w:rPr>
      </w:pPr>
      <w:bookmarkStart w:id="2" w:name="_Hlk202801561"/>
      <w:r w:rsidRPr="00B765FE">
        <w:t xml:space="preserve">         </w:t>
      </w:r>
      <w:r w:rsidRPr="00B9166F">
        <w:rPr>
          <w:i w:val="0"/>
          <w:iCs/>
        </w:rPr>
        <w:t xml:space="preserve">The parameters assessed—anti-cyclic citrullinated peptide antibodies (anti-CCP), </w:t>
      </w:r>
      <w:proofErr w:type="spellStart"/>
      <w:r w:rsidRPr="00B9166F">
        <w:rPr>
          <w:i w:val="0"/>
          <w:iCs/>
        </w:rPr>
        <w:t>tumor</w:t>
      </w:r>
      <w:proofErr w:type="spellEnd"/>
      <w:r w:rsidRPr="00B9166F">
        <w:rPr>
          <w:i w:val="0"/>
          <w:iCs/>
        </w:rPr>
        <w:t xml:space="preserve"> necrosis factor-alpha (TNF-α), and adenosine deaminase (ADA)—are critical biomarkers reflecting disease activity, inflammatory processes, and cellular immune dysfunction in RA.</w:t>
      </w:r>
      <w:r w:rsidRPr="00B9166F">
        <w:rPr>
          <w:b/>
          <w:bCs/>
          <w:i w:val="0"/>
          <w:iCs/>
        </w:rPr>
        <w:t xml:space="preserve"> </w:t>
      </w:r>
      <w:r w:rsidRPr="00B9166F">
        <w:rPr>
          <w:i w:val="0"/>
          <w:iCs/>
        </w:rPr>
        <w:t xml:space="preserve">Table 1 shows Demographically, the mean age of RA patients was comparable to that of controls, with mean of (42.7 ± 10.3, 42.5 ± 10.1), ensuring age-related variables minimally influenced the findings. Notably, the study corroborated a well-documented female </w:t>
      </w:r>
      <w:bookmarkEnd w:id="2"/>
      <w:r w:rsidRPr="00B9166F">
        <w:rPr>
          <w:i w:val="0"/>
          <w:iCs/>
        </w:rPr>
        <w:t xml:space="preserve">predominance in RA (28 female, 17 male), reflecting hormonal and genetic predispositions cited extensively in literature </w:t>
      </w:r>
      <w:r w:rsidR="00A92CFB" w:rsidRPr="00A72CDE">
        <w:rPr>
          <w:i w:val="0"/>
          <w:iCs/>
        </w:rPr>
        <w:t>[</w:t>
      </w:r>
      <w:r w:rsidR="00A92CFB">
        <w:rPr>
          <w:i w:val="0"/>
          <w:iCs/>
        </w:rPr>
        <w:t>9</w:t>
      </w:r>
      <w:r w:rsidR="00A92CFB" w:rsidRPr="00A72CDE">
        <w:rPr>
          <w:i w:val="0"/>
          <w:iCs/>
        </w:rPr>
        <w:t>]</w:t>
      </w:r>
      <w:r w:rsidR="00A92CFB">
        <w:rPr>
          <w:i w:val="0"/>
          <w:iCs/>
        </w:rPr>
        <w:t>.</w:t>
      </w:r>
    </w:p>
    <w:p w14:paraId="5E32697E" w14:textId="31340BD9" w:rsidR="00B9166F" w:rsidRPr="00B9166F" w:rsidRDefault="00B9166F" w:rsidP="005B47EF">
      <w:pPr>
        <w:pStyle w:val="Articalhistory"/>
        <w:spacing w:line="240" w:lineRule="auto"/>
        <w:ind w:firstLine="720"/>
        <w:jc w:val="both"/>
        <w:rPr>
          <w:i w:val="0"/>
          <w:iCs/>
        </w:rPr>
      </w:pPr>
      <w:r w:rsidRPr="00B9166F">
        <w:rPr>
          <w:i w:val="0"/>
          <w:iCs/>
        </w:rPr>
        <w:t xml:space="preserve">Rheumatoid arthritis patients exhibited significantly higher body mass index (BMI) values compared to controls (p &lt; 0.01). This finding aligns with existing evidence highlighting obesity as a notable risk factor for RA, linked to heightened inflammatory states and poorer treatment outcomes. Adipokines produced by adipose tissue likely play a substantial role in exacerbating inflammatory responses observed in RA </w:t>
      </w:r>
      <w:r w:rsidR="00A92CFB" w:rsidRPr="00A72CDE">
        <w:rPr>
          <w:i w:val="0"/>
          <w:iCs/>
        </w:rPr>
        <w:t>[</w:t>
      </w:r>
      <w:r w:rsidR="00A92CFB">
        <w:rPr>
          <w:i w:val="0"/>
          <w:iCs/>
        </w:rPr>
        <w:t>10</w:t>
      </w:r>
      <w:r w:rsidR="00A92CFB" w:rsidRPr="00A72CDE">
        <w:rPr>
          <w:i w:val="0"/>
          <w:iCs/>
        </w:rPr>
        <w:t>]</w:t>
      </w:r>
      <w:r w:rsidR="00A92CFB">
        <w:rPr>
          <w:i w:val="0"/>
          <w:iCs/>
        </w:rPr>
        <w:t>.</w:t>
      </w:r>
    </w:p>
    <w:p w14:paraId="4F05F691" w14:textId="09F78E79" w:rsidR="00B9166F" w:rsidRPr="00B9166F" w:rsidRDefault="00B9166F" w:rsidP="00A72CDE">
      <w:pPr>
        <w:pStyle w:val="Articalhistory"/>
        <w:spacing w:line="240" w:lineRule="auto"/>
        <w:ind w:firstLine="720"/>
        <w:jc w:val="both"/>
        <w:rPr>
          <w:i w:val="0"/>
          <w:iCs/>
        </w:rPr>
      </w:pPr>
      <w:r w:rsidRPr="00B9166F">
        <w:rPr>
          <w:i w:val="0"/>
          <w:iCs/>
        </w:rPr>
        <w:t xml:space="preserve">Clinically, the median disease duration was approximately five years, indicating a cohort comprising both early and established RA cases. Literature suggests longer disease durations correlate with increased joint destruction and comorbidities; thus, the current median duration highlights moderate disease chronicity within the studied population </w:t>
      </w:r>
      <w:r w:rsidR="00A92CFB" w:rsidRPr="00A72CDE">
        <w:rPr>
          <w:i w:val="0"/>
          <w:iCs/>
        </w:rPr>
        <w:t>[</w:t>
      </w:r>
      <w:r w:rsidR="00A92CFB">
        <w:rPr>
          <w:i w:val="0"/>
          <w:iCs/>
        </w:rPr>
        <w:t>11</w:t>
      </w:r>
      <w:r w:rsidR="00A92CFB" w:rsidRPr="00A72CDE">
        <w:rPr>
          <w:i w:val="0"/>
          <w:iCs/>
        </w:rPr>
        <w:t>]</w:t>
      </w:r>
      <w:r w:rsidR="00A92CFB">
        <w:rPr>
          <w:i w:val="0"/>
          <w:iCs/>
        </w:rPr>
        <w:t>.</w:t>
      </w:r>
    </w:p>
    <w:p w14:paraId="32D0F2D1" w14:textId="6E1485EF" w:rsidR="00B9166F" w:rsidRPr="00B9166F" w:rsidRDefault="00B9166F" w:rsidP="00A72CDE">
      <w:pPr>
        <w:pStyle w:val="Articalhistory"/>
        <w:spacing w:line="240" w:lineRule="auto"/>
        <w:jc w:val="both"/>
        <w:rPr>
          <w:rFonts w:eastAsia="Times New Roman"/>
          <w:i w:val="0"/>
          <w:iCs/>
        </w:rPr>
      </w:pPr>
      <w:r w:rsidRPr="00B9166F">
        <w:rPr>
          <w:i w:val="0"/>
          <w:iCs/>
        </w:rPr>
        <w:lastRenderedPageBreak/>
        <w:t xml:space="preserve">Tables 2 </w:t>
      </w:r>
      <w:r w:rsidRPr="00B9166F">
        <w:rPr>
          <w:rFonts w:eastAsia="Times New Roman"/>
          <w:i w:val="0"/>
          <w:iCs/>
        </w:rPr>
        <w:t xml:space="preserve">demonstrated significant elevations in TNF-α, anti-CCP, and ADA levels compared to controls (p&lt;0.01). Post-treatment analyses (Table 2) revealed substantial reductions: Anti-CCP decreased from 531.2±91.4 to 273.4±93.5 ng/ml, TNF-α from 849.0±24.0 to 120.4±8.0 </w:t>
      </w:r>
      <w:proofErr w:type="spellStart"/>
      <w:r w:rsidRPr="00B9166F">
        <w:rPr>
          <w:rFonts w:eastAsia="Times New Roman"/>
          <w:i w:val="0"/>
          <w:iCs/>
        </w:rPr>
        <w:t>pg</w:t>
      </w:r>
      <w:proofErr w:type="spellEnd"/>
      <w:r w:rsidRPr="00B9166F">
        <w:rPr>
          <w:rFonts w:eastAsia="Times New Roman"/>
          <w:i w:val="0"/>
          <w:iCs/>
        </w:rPr>
        <w:t xml:space="preserve">/ml, and ADA normalized from 14.9±7.5 to 1.6±1.3 ng/ml. Correlation analyses (Table 3) showed TNF-α strongly correlated with DAS28 pre-treatment (r=-0.729, p&lt;0.01), anti-CCP moderately correlated post-treatment (r=-0.454, p&lt;0.01), and ADA exhibited limited correlation </w:t>
      </w:r>
      <w:r w:rsidR="00A92CFB" w:rsidRPr="00A72CDE">
        <w:rPr>
          <w:i w:val="0"/>
          <w:iCs/>
        </w:rPr>
        <w:t>[</w:t>
      </w:r>
      <w:r w:rsidR="00A92CFB">
        <w:rPr>
          <w:i w:val="0"/>
          <w:iCs/>
        </w:rPr>
        <w:t>12</w:t>
      </w:r>
      <w:r w:rsidR="00A92CFB" w:rsidRPr="00A72CDE">
        <w:rPr>
          <w:i w:val="0"/>
          <w:iCs/>
        </w:rPr>
        <w:t>]</w:t>
      </w:r>
      <w:r w:rsidR="00A92CFB" w:rsidRPr="00A92CFB">
        <w:rPr>
          <w:i w:val="0"/>
          <w:iCs/>
        </w:rPr>
        <w:t xml:space="preserve"> </w:t>
      </w:r>
      <w:r w:rsidR="00A92CFB" w:rsidRPr="00A72CDE">
        <w:rPr>
          <w:i w:val="0"/>
          <w:iCs/>
        </w:rPr>
        <w:t>[</w:t>
      </w:r>
      <w:r w:rsidR="00A92CFB">
        <w:rPr>
          <w:i w:val="0"/>
          <w:iCs/>
        </w:rPr>
        <w:t>13</w:t>
      </w:r>
      <w:r w:rsidR="00A92CFB" w:rsidRPr="00A72CDE">
        <w:rPr>
          <w:i w:val="0"/>
          <w:iCs/>
        </w:rPr>
        <w:t>]</w:t>
      </w:r>
      <w:r w:rsidR="00A92CFB">
        <w:rPr>
          <w:i w:val="0"/>
          <w:iCs/>
        </w:rPr>
        <w:t>.</w:t>
      </w:r>
    </w:p>
    <w:p w14:paraId="1500031C" w14:textId="4E1EF49A" w:rsidR="00B9166F" w:rsidRDefault="00B9166F" w:rsidP="00A92CFB">
      <w:pPr>
        <w:pStyle w:val="Articalhistory"/>
        <w:spacing w:line="240" w:lineRule="auto"/>
        <w:ind w:firstLine="720"/>
        <w:jc w:val="both"/>
        <w:rPr>
          <w:i w:val="0"/>
          <w:iCs/>
        </w:rPr>
      </w:pPr>
      <w:r w:rsidRPr="00B9166F">
        <w:rPr>
          <w:rFonts w:eastAsia="Times New Roman"/>
          <w:i w:val="0"/>
          <w:iCs/>
        </w:rPr>
        <w:t xml:space="preserve">Table 3 and Figure 1 show significant elevations in biomarkers that indicate active immune dysregulation in RA. TNF-α’s pre-treatment correlation with DAS28 highlights its pivotal role in disease severity, reflecting direct involvement in inflammation. Anti-CCP's moderate correlation post-treatment underscores its utility in tracking immunological responses over time. The limited ADA correlation suggests broader immune activity independent of joint-specific inflammation </w:t>
      </w:r>
      <w:r w:rsidR="00A92CFB" w:rsidRPr="00A72CDE">
        <w:rPr>
          <w:i w:val="0"/>
          <w:iCs/>
        </w:rPr>
        <w:t>[</w:t>
      </w:r>
      <w:r w:rsidR="00A92CFB">
        <w:rPr>
          <w:i w:val="0"/>
          <w:iCs/>
        </w:rPr>
        <w:t>14</w:t>
      </w:r>
      <w:r w:rsidR="00A92CFB" w:rsidRPr="00A72CDE">
        <w:rPr>
          <w:i w:val="0"/>
          <w:iCs/>
        </w:rPr>
        <w:t>][</w:t>
      </w:r>
      <w:r w:rsidR="00A92CFB">
        <w:rPr>
          <w:i w:val="0"/>
          <w:iCs/>
        </w:rPr>
        <w:t>15</w:t>
      </w:r>
      <w:r w:rsidR="00A92CFB" w:rsidRPr="00A72CDE">
        <w:rPr>
          <w:i w:val="0"/>
          <w:iCs/>
        </w:rPr>
        <w:t>][</w:t>
      </w:r>
      <w:r w:rsidR="00A92CFB">
        <w:rPr>
          <w:i w:val="0"/>
          <w:iCs/>
        </w:rPr>
        <w:t>16</w:t>
      </w:r>
      <w:r w:rsidR="00A92CFB" w:rsidRPr="00A72CDE">
        <w:rPr>
          <w:i w:val="0"/>
          <w:iCs/>
        </w:rPr>
        <w:t>]</w:t>
      </w:r>
      <w:r w:rsidR="00A92CFB">
        <w:rPr>
          <w:i w:val="0"/>
          <w:iCs/>
        </w:rPr>
        <w:t>.</w:t>
      </w:r>
    </w:p>
    <w:p w14:paraId="0A5BAC3C" w14:textId="77777777" w:rsidR="00A92CFB" w:rsidRPr="00A92CFB" w:rsidRDefault="00A92CFB" w:rsidP="00A92CFB">
      <w:pPr>
        <w:pStyle w:val="Articalhistory"/>
        <w:spacing w:line="240" w:lineRule="auto"/>
        <w:ind w:firstLine="720"/>
        <w:jc w:val="both"/>
        <w:rPr>
          <w:rFonts w:eastAsia="Times New Roman"/>
          <w:i w:val="0"/>
          <w:iCs/>
        </w:rPr>
      </w:pPr>
    </w:p>
    <w:p w14:paraId="31B658FE" w14:textId="155CD409" w:rsidR="00B9166F" w:rsidRDefault="00B9166F" w:rsidP="00E73DF1">
      <w:pPr>
        <w:pStyle w:val="Articalhistory"/>
        <w:spacing w:line="240" w:lineRule="auto"/>
        <w:jc w:val="both"/>
        <w:rPr>
          <w:i w:val="0"/>
          <w:iCs/>
        </w:rPr>
      </w:pPr>
      <w:r w:rsidRPr="00B9166F">
        <w:rPr>
          <w:rFonts w:eastAsia="Times New Roman"/>
          <w:b/>
          <w:bCs/>
          <w:i w:val="0"/>
          <w:iCs/>
        </w:rPr>
        <w:t>1. DAS28 Before vs TNF-α (r = -0.729, p &lt; 0.001)</w:t>
      </w:r>
      <w:r w:rsidR="00E73DF1">
        <w:rPr>
          <w:rFonts w:eastAsia="Times New Roman"/>
          <w:b/>
          <w:bCs/>
          <w:i w:val="0"/>
          <w:iCs/>
        </w:rPr>
        <w:t>:</w:t>
      </w:r>
      <w:r w:rsidR="003C0E6D">
        <w:rPr>
          <w:rFonts w:eastAsia="Times New Roman" w:hint="cs"/>
          <w:b/>
          <w:bCs/>
          <w:i w:val="0"/>
          <w:iCs/>
          <w:rtl/>
        </w:rPr>
        <w:t xml:space="preserve"> </w:t>
      </w:r>
      <w:r w:rsidRPr="00B9166F">
        <w:rPr>
          <w:rFonts w:eastAsia="Times New Roman"/>
          <w:i w:val="0"/>
          <w:iCs/>
        </w:rPr>
        <w:t>This remarkable positive correlation signifies that greater TNF-α levels are significantly associated with increased disease activity before treatment. TNF-α is a central pro-inflammatory cytokine in RA, promoting synovial inflammation and joint damage. The inverse relationship may reflect an immune regulatory mechanism or treatment-naïve disease status, where TNF-α is elevated in active disease</w:t>
      </w:r>
      <w:r w:rsidR="00A92CFB">
        <w:rPr>
          <w:rFonts w:eastAsia="Times New Roman"/>
          <w:i w:val="0"/>
          <w:iCs/>
        </w:rPr>
        <w:t xml:space="preserve"> </w:t>
      </w:r>
      <w:r w:rsidR="00A92CFB" w:rsidRPr="00A72CDE">
        <w:rPr>
          <w:i w:val="0"/>
          <w:iCs/>
        </w:rPr>
        <w:t>[</w:t>
      </w:r>
      <w:r w:rsidR="00A92CFB">
        <w:rPr>
          <w:i w:val="0"/>
          <w:iCs/>
        </w:rPr>
        <w:t>16</w:t>
      </w:r>
      <w:r w:rsidR="00A92CFB" w:rsidRPr="00A72CDE">
        <w:rPr>
          <w:i w:val="0"/>
          <w:iCs/>
        </w:rPr>
        <w:t>]</w:t>
      </w:r>
      <w:r w:rsidRPr="00B9166F">
        <w:rPr>
          <w:rFonts w:eastAsia="Times New Roman"/>
          <w:i w:val="0"/>
          <w:iCs/>
        </w:rPr>
        <w:t>. Earlier investigations have demonstrated that there is a negative correlation between TNF-α levels and DAS28, and that these levels significantly decrease following treatment with anti-TNF therapy</w:t>
      </w:r>
      <w:r w:rsidR="00A92CFB">
        <w:rPr>
          <w:rFonts w:eastAsia="Times New Roman"/>
          <w:i w:val="0"/>
          <w:iCs/>
        </w:rPr>
        <w:t xml:space="preserve"> </w:t>
      </w:r>
      <w:r w:rsidR="00A92CFB" w:rsidRPr="00A72CDE">
        <w:rPr>
          <w:i w:val="0"/>
          <w:iCs/>
        </w:rPr>
        <w:t>[</w:t>
      </w:r>
      <w:r w:rsidR="00A92CFB">
        <w:rPr>
          <w:i w:val="0"/>
          <w:iCs/>
        </w:rPr>
        <w:t>17</w:t>
      </w:r>
      <w:r w:rsidR="00A92CFB" w:rsidRPr="00A72CDE">
        <w:rPr>
          <w:i w:val="0"/>
          <w:iCs/>
        </w:rPr>
        <w:t>]</w:t>
      </w:r>
      <w:r w:rsidR="00A92CFB">
        <w:rPr>
          <w:i w:val="0"/>
          <w:iCs/>
        </w:rPr>
        <w:t>.</w:t>
      </w:r>
    </w:p>
    <w:p w14:paraId="2F67EAB0" w14:textId="77777777" w:rsidR="00A92CFB" w:rsidRPr="00A92CFB" w:rsidRDefault="00A92CFB" w:rsidP="00A92CFB">
      <w:pPr>
        <w:pStyle w:val="Articalhistory"/>
        <w:spacing w:line="240" w:lineRule="auto"/>
        <w:ind w:firstLine="720"/>
        <w:jc w:val="both"/>
        <w:rPr>
          <w:rFonts w:eastAsia="Times New Roman"/>
          <w:i w:val="0"/>
          <w:iCs/>
        </w:rPr>
      </w:pPr>
    </w:p>
    <w:p w14:paraId="563674D5" w14:textId="1EAA32D5" w:rsidR="00B9166F" w:rsidRDefault="00B9166F" w:rsidP="00E73DF1">
      <w:pPr>
        <w:pStyle w:val="Articalhistory"/>
        <w:spacing w:line="240" w:lineRule="auto"/>
        <w:jc w:val="both"/>
        <w:rPr>
          <w:i w:val="0"/>
          <w:iCs/>
        </w:rPr>
      </w:pPr>
      <w:r w:rsidRPr="00B9166F">
        <w:rPr>
          <w:rFonts w:eastAsia="Times New Roman"/>
          <w:b/>
          <w:bCs/>
          <w:i w:val="0"/>
          <w:iCs/>
        </w:rPr>
        <w:t>2. DAS28 After vs TNF-α (r = -0.014, p = 0.9281)</w:t>
      </w:r>
      <w:r w:rsidR="00E73DF1">
        <w:rPr>
          <w:rFonts w:eastAsia="Times New Roman"/>
          <w:b/>
          <w:bCs/>
          <w:i w:val="0"/>
          <w:iCs/>
        </w:rPr>
        <w:t xml:space="preserve">: </w:t>
      </w:r>
      <w:r w:rsidRPr="00B9166F">
        <w:rPr>
          <w:rFonts w:eastAsia="Times New Roman"/>
          <w:i w:val="0"/>
          <w:iCs/>
        </w:rPr>
        <w:t xml:space="preserve">Post-treatment, the correlation between TNF-α and DAS28 becomes negligible and statistically insignificant. This suggests that the effect of therapy (possibly anti-TNF or DMARDs) has suppressed TNF-α activity, diminishing its association with disease severity. The loss of correlation supports the clinical utility of TNF inhibitors in modulating inflammatory responses </w:t>
      </w:r>
      <w:r w:rsidR="00A92CFB" w:rsidRPr="00A72CDE">
        <w:rPr>
          <w:i w:val="0"/>
          <w:iCs/>
        </w:rPr>
        <w:t>[</w:t>
      </w:r>
      <w:r w:rsidR="00A92CFB">
        <w:rPr>
          <w:i w:val="0"/>
          <w:iCs/>
        </w:rPr>
        <w:t>18</w:t>
      </w:r>
      <w:r w:rsidR="00A92CFB" w:rsidRPr="00A72CDE">
        <w:rPr>
          <w:i w:val="0"/>
          <w:iCs/>
        </w:rPr>
        <w:t>]</w:t>
      </w:r>
      <w:r w:rsidR="00A92CFB">
        <w:rPr>
          <w:i w:val="0"/>
          <w:iCs/>
        </w:rPr>
        <w:t>.</w:t>
      </w:r>
    </w:p>
    <w:p w14:paraId="60A37942" w14:textId="77777777" w:rsidR="00A92CFB" w:rsidRPr="00B9166F" w:rsidRDefault="00A92CFB" w:rsidP="00F830C4">
      <w:pPr>
        <w:pStyle w:val="Articalhistory"/>
        <w:spacing w:line="240" w:lineRule="auto"/>
        <w:jc w:val="both"/>
        <w:rPr>
          <w:rFonts w:eastAsia="Times New Roman"/>
          <w:i w:val="0"/>
          <w:iCs/>
        </w:rPr>
      </w:pPr>
    </w:p>
    <w:p w14:paraId="122981EE" w14:textId="4315EF22" w:rsidR="00B9166F" w:rsidRDefault="00B9166F" w:rsidP="00520293">
      <w:pPr>
        <w:pStyle w:val="Articalhistory"/>
        <w:spacing w:line="240" w:lineRule="auto"/>
        <w:jc w:val="both"/>
        <w:rPr>
          <w:rFonts w:eastAsia="Times New Roman"/>
          <w:i w:val="0"/>
          <w:iCs/>
          <w:rtl/>
        </w:rPr>
      </w:pPr>
      <w:r w:rsidRPr="00B9166F">
        <w:rPr>
          <w:rFonts w:eastAsia="Times New Roman"/>
          <w:b/>
          <w:bCs/>
          <w:i w:val="0"/>
          <w:iCs/>
        </w:rPr>
        <w:t>3. DAS28 Before vs Anti-CCP (r = -0.135, p = 0.3783)</w:t>
      </w:r>
      <w:r w:rsidR="00520293">
        <w:rPr>
          <w:rFonts w:eastAsia="Times New Roman"/>
          <w:b/>
          <w:bCs/>
          <w:i w:val="0"/>
          <w:iCs/>
          <w:lang w:val="en-US"/>
        </w:rPr>
        <w:t xml:space="preserve">: </w:t>
      </w:r>
      <w:r w:rsidRPr="00B9166F">
        <w:rPr>
          <w:rFonts w:eastAsia="Times New Roman"/>
          <w:i w:val="0"/>
          <w:iCs/>
        </w:rPr>
        <w:t xml:space="preserve">A weak and non-significant correlation was observed. Although anti-CCP is a diagnostic and prognostic marker in RA, its levels may not dynamically reflect real-time disease activity, especially before treatment. This aligns with prior studies indicating anti-CCP’s role as a stable, chronic disease marker rather than an activity-dependent one </w:t>
      </w:r>
      <w:r w:rsidR="00A92CFB" w:rsidRPr="00A72CDE">
        <w:rPr>
          <w:i w:val="0"/>
          <w:iCs/>
        </w:rPr>
        <w:t>[</w:t>
      </w:r>
      <w:r w:rsidR="00A92CFB">
        <w:rPr>
          <w:i w:val="0"/>
          <w:iCs/>
        </w:rPr>
        <w:t>19</w:t>
      </w:r>
      <w:r w:rsidR="00A92CFB" w:rsidRPr="00A72CDE">
        <w:rPr>
          <w:i w:val="0"/>
          <w:iCs/>
        </w:rPr>
        <w:t>][</w:t>
      </w:r>
      <w:r w:rsidR="00A92CFB">
        <w:rPr>
          <w:i w:val="0"/>
          <w:iCs/>
        </w:rPr>
        <w:t>20</w:t>
      </w:r>
      <w:r w:rsidR="00A92CFB" w:rsidRPr="00A72CDE">
        <w:rPr>
          <w:i w:val="0"/>
          <w:iCs/>
        </w:rPr>
        <w:t>]</w:t>
      </w:r>
      <w:r w:rsidR="00A92CFB">
        <w:rPr>
          <w:i w:val="0"/>
          <w:iCs/>
        </w:rPr>
        <w:t>.</w:t>
      </w:r>
    </w:p>
    <w:p w14:paraId="293FD9CF" w14:textId="77777777" w:rsidR="00C7215B" w:rsidRPr="00B9166F" w:rsidRDefault="00C7215B" w:rsidP="00A72CDE">
      <w:pPr>
        <w:pStyle w:val="Articalhistory"/>
        <w:spacing w:line="240" w:lineRule="auto"/>
        <w:ind w:firstLine="720"/>
        <w:jc w:val="both"/>
        <w:rPr>
          <w:rFonts w:eastAsia="Times New Roman"/>
          <w:i w:val="0"/>
          <w:iCs/>
        </w:rPr>
      </w:pPr>
    </w:p>
    <w:p w14:paraId="503E6808" w14:textId="4AE6EA3E" w:rsidR="00B9166F" w:rsidRDefault="00B9166F" w:rsidP="00520293">
      <w:pPr>
        <w:pStyle w:val="Articalhistory"/>
        <w:spacing w:line="240" w:lineRule="auto"/>
        <w:jc w:val="both"/>
        <w:rPr>
          <w:rFonts w:eastAsia="Times New Roman"/>
          <w:i w:val="0"/>
          <w:iCs/>
        </w:rPr>
      </w:pPr>
      <w:r w:rsidRPr="00B9166F">
        <w:rPr>
          <w:rFonts w:eastAsia="Times New Roman"/>
          <w:b/>
          <w:bCs/>
          <w:i w:val="0"/>
          <w:iCs/>
        </w:rPr>
        <w:t>4. DAS28 After vs Anti-CCP (r = -0.454, p &lt; 0.001)</w:t>
      </w:r>
      <w:r w:rsidR="00520293">
        <w:rPr>
          <w:rFonts w:eastAsia="Times New Roman"/>
          <w:b/>
          <w:bCs/>
          <w:i w:val="0"/>
          <w:iCs/>
        </w:rPr>
        <w:t xml:space="preserve">: </w:t>
      </w:r>
      <w:r w:rsidRPr="00B9166F">
        <w:rPr>
          <w:rFonts w:eastAsia="Times New Roman"/>
          <w:i w:val="0"/>
          <w:iCs/>
        </w:rPr>
        <w:t xml:space="preserve">After treatment, a moderate negative correlation emerges between anti-CCP and DAS28, suggesting that patients with lower anti-CCP levels post-therapy had improved disease activity. This could reflect a reduction in autoantibody production due to immunomodulatory effects of treatment </w:t>
      </w:r>
      <w:r w:rsidR="00A92CFB" w:rsidRPr="00A72CDE">
        <w:rPr>
          <w:i w:val="0"/>
          <w:iCs/>
        </w:rPr>
        <w:t>[</w:t>
      </w:r>
      <w:r w:rsidR="00A92CFB">
        <w:rPr>
          <w:i w:val="0"/>
          <w:iCs/>
        </w:rPr>
        <w:t>21</w:t>
      </w:r>
      <w:r w:rsidR="00A92CFB" w:rsidRPr="00A72CDE">
        <w:rPr>
          <w:i w:val="0"/>
          <w:iCs/>
        </w:rPr>
        <w:t>]</w:t>
      </w:r>
      <w:r w:rsidR="00A92CFB">
        <w:rPr>
          <w:i w:val="0"/>
          <w:iCs/>
        </w:rPr>
        <w:t>.</w:t>
      </w:r>
    </w:p>
    <w:p w14:paraId="4D3857E2" w14:textId="77777777" w:rsidR="00A92CFB" w:rsidRPr="00B9166F" w:rsidRDefault="00A92CFB" w:rsidP="00A72CDE">
      <w:pPr>
        <w:pStyle w:val="Articalhistory"/>
        <w:spacing w:line="240" w:lineRule="auto"/>
        <w:ind w:firstLine="720"/>
        <w:jc w:val="both"/>
        <w:rPr>
          <w:rFonts w:eastAsia="Times New Roman"/>
          <w:i w:val="0"/>
          <w:iCs/>
        </w:rPr>
      </w:pPr>
    </w:p>
    <w:p w14:paraId="4C5AE85D" w14:textId="4A2B6784" w:rsidR="00B9166F" w:rsidRDefault="00B9166F" w:rsidP="00520293">
      <w:pPr>
        <w:pStyle w:val="Articalhistory"/>
        <w:spacing w:line="240" w:lineRule="auto"/>
        <w:jc w:val="both"/>
        <w:rPr>
          <w:i w:val="0"/>
          <w:iCs/>
        </w:rPr>
      </w:pPr>
      <w:r w:rsidRPr="00B9166F">
        <w:rPr>
          <w:rFonts w:eastAsia="Times New Roman"/>
          <w:b/>
          <w:bCs/>
          <w:i w:val="0"/>
          <w:iCs/>
        </w:rPr>
        <w:t>5. DAS28 Before vs ADA (r = -0.130, p = 0.3961)</w:t>
      </w:r>
      <w:r w:rsidR="00520293">
        <w:rPr>
          <w:rFonts w:eastAsia="Times New Roman"/>
          <w:b/>
          <w:bCs/>
          <w:i w:val="0"/>
          <w:iCs/>
        </w:rPr>
        <w:t xml:space="preserve">: </w:t>
      </w:r>
      <w:r w:rsidRPr="00B9166F">
        <w:rPr>
          <w:rFonts w:eastAsia="Times New Roman"/>
          <w:i w:val="0"/>
          <w:iCs/>
        </w:rPr>
        <w:t xml:space="preserve">No significant correlation is seen. ADA, an enzyme linked to lymphocyte proliferation, may not directly reflect early disease activity. Its relevance could be more pronounced in systemic inflammation rather than joint-specific pathology </w:t>
      </w:r>
      <w:r w:rsidR="00A92CFB" w:rsidRPr="00A72CDE">
        <w:rPr>
          <w:i w:val="0"/>
          <w:iCs/>
        </w:rPr>
        <w:t>[</w:t>
      </w:r>
      <w:r w:rsidR="00A92CFB">
        <w:rPr>
          <w:i w:val="0"/>
          <w:iCs/>
        </w:rPr>
        <w:t>22</w:t>
      </w:r>
      <w:r w:rsidR="00A92CFB" w:rsidRPr="00A72CDE">
        <w:rPr>
          <w:i w:val="0"/>
          <w:iCs/>
        </w:rPr>
        <w:t>]</w:t>
      </w:r>
      <w:r w:rsidR="00A92CFB">
        <w:rPr>
          <w:i w:val="0"/>
          <w:iCs/>
        </w:rPr>
        <w:t>.</w:t>
      </w:r>
    </w:p>
    <w:p w14:paraId="175DFA72" w14:textId="77777777" w:rsidR="00A92CFB" w:rsidRPr="00B9166F" w:rsidRDefault="00A92CFB" w:rsidP="00A72CDE">
      <w:pPr>
        <w:pStyle w:val="Articalhistory"/>
        <w:spacing w:line="240" w:lineRule="auto"/>
        <w:ind w:firstLine="720"/>
        <w:jc w:val="both"/>
        <w:rPr>
          <w:rFonts w:eastAsia="Times New Roman"/>
          <w:i w:val="0"/>
          <w:iCs/>
        </w:rPr>
      </w:pPr>
    </w:p>
    <w:p w14:paraId="008DF77B" w14:textId="3EDC7F6C" w:rsidR="00D03FD0" w:rsidRDefault="00B9166F" w:rsidP="00520293">
      <w:pPr>
        <w:pStyle w:val="Articalhistory"/>
        <w:spacing w:line="240" w:lineRule="auto"/>
        <w:jc w:val="both"/>
        <w:rPr>
          <w:i w:val="0"/>
          <w:iCs/>
        </w:rPr>
      </w:pPr>
      <w:r w:rsidRPr="00B9166F">
        <w:rPr>
          <w:rFonts w:eastAsia="Times New Roman"/>
          <w:b/>
          <w:bCs/>
          <w:i w:val="0"/>
          <w:iCs/>
        </w:rPr>
        <w:t>6. DAS28 After vs ADA (r = -0.156, p = 0.3076)</w:t>
      </w:r>
      <w:r w:rsidR="00520293">
        <w:rPr>
          <w:rFonts w:eastAsia="Times New Roman"/>
          <w:b/>
          <w:bCs/>
          <w:i w:val="0"/>
          <w:iCs/>
        </w:rPr>
        <w:t xml:space="preserve">: </w:t>
      </w:r>
      <w:r w:rsidRPr="00B9166F">
        <w:rPr>
          <w:rFonts w:eastAsia="Times New Roman"/>
          <w:i w:val="0"/>
          <w:iCs/>
        </w:rPr>
        <w:t>As a result of treatment, the association between ADA and DAS28 continues to be weak and non-significant, which is in line with previous findings that imply the ADA has little predictive utility in monitoring the remission of RA illness</w:t>
      </w:r>
      <w:r w:rsidR="00A92CFB">
        <w:rPr>
          <w:rFonts w:eastAsia="Times New Roman"/>
          <w:i w:val="0"/>
          <w:iCs/>
        </w:rPr>
        <w:t xml:space="preserve"> </w:t>
      </w:r>
      <w:r w:rsidR="00A92CFB" w:rsidRPr="00A72CDE">
        <w:rPr>
          <w:i w:val="0"/>
          <w:iCs/>
        </w:rPr>
        <w:t>[</w:t>
      </w:r>
      <w:r w:rsidR="00A92CFB">
        <w:rPr>
          <w:i w:val="0"/>
          <w:iCs/>
        </w:rPr>
        <w:t>23</w:t>
      </w:r>
      <w:r w:rsidR="00A92CFB" w:rsidRPr="00A72CDE">
        <w:rPr>
          <w:i w:val="0"/>
          <w:iCs/>
        </w:rPr>
        <w:t>][</w:t>
      </w:r>
      <w:r w:rsidR="00A92CFB">
        <w:rPr>
          <w:i w:val="0"/>
          <w:iCs/>
        </w:rPr>
        <w:t>24</w:t>
      </w:r>
      <w:r w:rsidR="00A92CFB" w:rsidRPr="00A72CDE">
        <w:rPr>
          <w:i w:val="0"/>
          <w:iCs/>
        </w:rPr>
        <w:t>]</w:t>
      </w:r>
      <w:r w:rsidR="00A92CFB">
        <w:rPr>
          <w:i w:val="0"/>
          <w:iCs/>
        </w:rPr>
        <w:t>.</w:t>
      </w:r>
    </w:p>
    <w:p w14:paraId="67F4A50D" w14:textId="77777777" w:rsidR="003F2732" w:rsidRDefault="003F2732" w:rsidP="00520293">
      <w:pPr>
        <w:pStyle w:val="Articalhistory"/>
        <w:spacing w:line="240" w:lineRule="auto"/>
        <w:jc w:val="both"/>
        <w:rPr>
          <w:i w:val="0"/>
          <w:iCs/>
        </w:rPr>
      </w:pPr>
    </w:p>
    <w:p w14:paraId="7F374F5A" w14:textId="77777777" w:rsidR="003F2732" w:rsidRDefault="003F2732" w:rsidP="00520293">
      <w:pPr>
        <w:pStyle w:val="Articalhistory"/>
        <w:spacing w:line="240" w:lineRule="auto"/>
        <w:jc w:val="both"/>
        <w:rPr>
          <w:i w:val="0"/>
          <w:iCs/>
        </w:rPr>
      </w:pPr>
    </w:p>
    <w:p w14:paraId="0BBF9341" w14:textId="77777777" w:rsidR="003F2732" w:rsidRDefault="003F2732" w:rsidP="00520293">
      <w:pPr>
        <w:pStyle w:val="Articalhistory"/>
        <w:spacing w:line="240" w:lineRule="auto"/>
        <w:jc w:val="both"/>
        <w:rPr>
          <w:rFonts w:eastAsia="Times New Roman"/>
          <w:i w:val="0"/>
          <w:iCs/>
          <w:vertAlign w:val="superscript"/>
        </w:rPr>
      </w:pPr>
    </w:p>
    <w:p w14:paraId="3293679C" w14:textId="77777777" w:rsidR="00A72CDE" w:rsidRPr="00D03FD0" w:rsidRDefault="00A72CDE" w:rsidP="00A72CDE">
      <w:pPr>
        <w:pStyle w:val="Articalhistory"/>
        <w:spacing w:line="240" w:lineRule="auto"/>
        <w:ind w:firstLine="720"/>
        <w:jc w:val="both"/>
        <w:rPr>
          <w:rFonts w:eastAsia="Times New Roman"/>
          <w:i w:val="0"/>
          <w:iCs/>
          <w:vertAlign w:val="superscript"/>
        </w:rPr>
      </w:pPr>
    </w:p>
    <w:p w14:paraId="5AE33400" w14:textId="594ECCF9" w:rsidR="00C20A1F" w:rsidRDefault="00717BCE" w:rsidP="00C20A1F">
      <w:pPr>
        <w:pStyle w:val="NoSpacing"/>
        <w:spacing w:after="0"/>
        <w:rPr>
          <w:b/>
          <w:bCs/>
        </w:rPr>
      </w:pPr>
      <w:r>
        <w:rPr>
          <w:b/>
          <w:bCs/>
        </w:rPr>
        <w:t>Conclusion</w:t>
      </w:r>
    </w:p>
    <w:p w14:paraId="70C7E398" w14:textId="77777777" w:rsidR="00C20A1F" w:rsidRDefault="00C20A1F" w:rsidP="00C20A1F">
      <w:pPr>
        <w:pStyle w:val="NoSpacing"/>
        <w:spacing w:after="0"/>
        <w:rPr>
          <w:b/>
          <w:bCs/>
        </w:rPr>
      </w:pPr>
    </w:p>
    <w:p w14:paraId="443E94D0" w14:textId="44D55621" w:rsidR="00A72CDE" w:rsidRDefault="00C7215B" w:rsidP="00F830C4">
      <w:pPr>
        <w:pStyle w:val="Articalhistory"/>
        <w:spacing w:line="240" w:lineRule="auto"/>
        <w:jc w:val="both"/>
        <w:rPr>
          <w:i w:val="0"/>
          <w:iCs/>
        </w:rPr>
      </w:pPr>
      <w:r w:rsidRPr="00B765FE">
        <w:t xml:space="preserve">        </w:t>
      </w:r>
      <w:r w:rsidRPr="00C7215B">
        <w:rPr>
          <w:i w:val="0"/>
          <w:iCs/>
        </w:rPr>
        <w:t>Among the three biomarkers, TNF-α and anti-CCP demonstrate significant inverse correlations with DAS28 at different time points, reflecting their complementary roles in RA pathophysiology and response to treatment. TNF-α serves as a dynamic, activity-dependent marker, especially useful before treatment, whereas anti-CCP offers post-treatment prognostic insight. ADA, although immunologically relevant, lacks strong correlation with disease activity scores. TNF-α and anti-CCP serve as significant biomarkers for assessing disease activity in RA, offering predictive value for therapeutic outcomes.</w:t>
      </w:r>
      <w:r>
        <w:rPr>
          <w:rFonts w:hint="cs"/>
          <w:i w:val="0"/>
          <w:iCs/>
          <w:rtl/>
        </w:rPr>
        <w:t xml:space="preserve"> </w:t>
      </w:r>
      <w:r w:rsidRPr="00C7215B">
        <w:rPr>
          <w:i w:val="0"/>
          <w:iCs/>
        </w:rPr>
        <w:t>Routine TNF-α and anti-CCP evaluations are recommended in clinical practice. Further studies should explore ADA’s potential as a supplementary biomarker.</w:t>
      </w:r>
    </w:p>
    <w:p w14:paraId="4C284BA7" w14:textId="77777777" w:rsidR="00F830C4" w:rsidRPr="00C7215B" w:rsidRDefault="00F830C4" w:rsidP="00F830C4">
      <w:pPr>
        <w:pStyle w:val="Articalhistory"/>
        <w:spacing w:line="240" w:lineRule="auto"/>
        <w:jc w:val="both"/>
        <w:rPr>
          <w:i w:val="0"/>
          <w:iCs/>
        </w:rPr>
      </w:pPr>
    </w:p>
    <w:p w14:paraId="64572018" w14:textId="7D772942" w:rsidR="00C7215B" w:rsidRDefault="00C7215B" w:rsidP="00520293">
      <w:pPr>
        <w:pStyle w:val="NoSpacing"/>
        <w:spacing w:after="0"/>
        <w:rPr>
          <w:b/>
          <w:bCs/>
        </w:rPr>
      </w:pPr>
      <w:r w:rsidRPr="00C7215B">
        <w:rPr>
          <w:b/>
          <w:bCs/>
        </w:rPr>
        <w:t>Acknowledgments</w:t>
      </w:r>
    </w:p>
    <w:p w14:paraId="4148BCEA" w14:textId="77777777" w:rsidR="00C20A1F" w:rsidRPr="00C7215B" w:rsidRDefault="00C20A1F" w:rsidP="00520293">
      <w:pPr>
        <w:pStyle w:val="NoSpacing"/>
        <w:spacing w:after="0"/>
        <w:rPr>
          <w:b/>
          <w:bCs/>
          <w:i/>
          <w:iCs/>
          <w:rtl/>
        </w:rPr>
      </w:pPr>
    </w:p>
    <w:p w14:paraId="59FEBCC1" w14:textId="0A6CA3E1" w:rsidR="00C7215B" w:rsidRDefault="00C7215B" w:rsidP="00A72CDE">
      <w:pPr>
        <w:pStyle w:val="Articalhistory"/>
        <w:spacing w:line="240" w:lineRule="auto"/>
        <w:ind w:firstLine="720"/>
        <w:rPr>
          <w:i w:val="0"/>
          <w:iCs/>
        </w:rPr>
      </w:pPr>
      <w:r w:rsidRPr="00C7215B">
        <w:rPr>
          <w:i w:val="0"/>
          <w:iCs/>
        </w:rPr>
        <w:t>We acknowledge the support of Tikrit University College of Medicine for providing laboratory facilities. Technical assistance from the Department of Clinical Biochemistry is also gratefully acknowledged.</w:t>
      </w:r>
    </w:p>
    <w:p w14:paraId="62D048B7" w14:textId="77777777" w:rsidR="00A72CDE" w:rsidRPr="00C7215B" w:rsidRDefault="00A72CDE" w:rsidP="00A72CDE">
      <w:pPr>
        <w:pStyle w:val="Articalhistory"/>
        <w:spacing w:line="240" w:lineRule="auto"/>
        <w:ind w:firstLine="720"/>
        <w:rPr>
          <w:i w:val="0"/>
          <w:iCs/>
        </w:rPr>
      </w:pPr>
    </w:p>
    <w:p w14:paraId="15722BEB" w14:textId="77777777" w:rsidR="00C20A1F" w:rsidRDefault="00C7215B" w:rsidP="002129BE">
      <w:pPr>
        <w:pStyle w:val="Articalhistory"/>
        <w:spacing w:line="240" w:lineRule="auto"/>
        <w:jc w:val="both"/>
        <w:rPr>
          <w:rStyle w:val="NoSpacingChar"/>
          <w:b/>
          <w:bCs/>
          <w:i w:val="0"/>
          <w:iCs/>
        </w:rPr>
      </w:pPr>
      <w:r w:rsidRPr="00C7215B">
        <w:rPr>
          <w:rStyle w:val="NoSpacingChar"/>
          <w:b/>
          <w:bCs/>
          <w:i w:val="0"/>
          <w:iCs/>
        </w:rPr>
        <w:t>Conflict</w:t>
      </w:r>
      <w:r w:rsidR="00A92CFB">
        <w:rPr>
          <w:rStyle w:val="NoSpacingChar"/>
          <w:b/>
          <w:bCs/>
          <w:i w:val="0"/>
          <w:iCs/>
        </w:rPr>
        <w:t xml:space="preserve"> </w:t>
      </w:r>
      <w:r w:rsidRPr="00C7215B">
        <w:rPr>
          <w:rStyle w:val="NoSpacingChar"/>
          <w:b/>
          <w:bCs/>
          <w:i w:val="0"/>
          <w:iCs/>
        </w:rPr>
        <w:t>of interest</w:t>
      </w:r>
    </w:p>
    <w:p w14:paraId="4F018C80" w14:textId="77777777" w:rsidR="00C20A1F" w:rsidRDefault="00C20A1F" w:rsidP="002129BE">
      <w:pPr>
        <w:pStyle w:val="Articalhistory"/>
        <w:spacing w:line="240" w:lineRule="auto"/>
        <w:jc w:val="both"/>
        <w:rPr>
          <w:rStyle w:val="NoSpacingChar"/>
          <w:b/>
          <w:bCs/>
          <w:i w:val="0"/>
          <w:iCs/>
        </w:rPr>
      </w:pPr>
    </w:p>
    <w:p w14:paraId="2A0E5B5B" w14:textId="0977F893" w:rsidR="00520293" w:rsidRDefault="00C7215B" w:rsidP="002129BE">
      <w:pPr>
        <w:pStyle w:val="Articalhistory"/>
        <w:spacing w:line="240" w:lineRule="auto"/>
        <w:jc w:val="both"/>
        <w:rPr>
          <w:i w:val="0"/>
          <w:iCs/>
        </w:rPr>
      </w:pPr>
      <w:r w:rsidRPr="00C7215B">
        <w:rPr>
          <w:i w:val="0"/>
          <w:iCs/>
        </w:rPr>
        <w:t xml:space="preserve"> </w:t>
      </w:r>
      <w:r w:rsidR="00C20A1F">
        <w:rPr>
          <w:i w:val="0"/>
          <w:iCs/>
        </w:rPr>
        <w:tab/>
      </w:r>
      <w:r w:rsidRPr="00C7215B">
        <w:rPr>
          <w:i w:val="0"/>
          <w:iCs/>
        </w:rPr>
        <w:t xml:space="preserve">The authors declare </w:t>
      </w:r>
      <w:r w:rsidR="003C0E6D">
        <w:rPr>
          <w:i w:val="0"/>
          <w:iCs/>
          <w:lang w:val="en-US"/>
        </w:rPr>
        <w:t xml:space="preserve">that there </w:t>
      </w:r>
      <w:r w:rsidR="000A0704">
        <w:rPr>
          <w:i w:val="0"/>
          <w:iCs/>
          <w:lang w:val="en-US"/>
        </w:rPr>
        <w:t>is</w:t>
      </w:r>
      <w:r w:rsidR="003C0E6D">
        <w:rPr>
          <w:i w:val="0"/>
          <w:iCs/>
          <w:lang w:val="en-US"/>
        </w:rPr>
        <w:t xml:space="preserve"> </w:t>
      </w:r>
      <w:r w:rsidRPr="00C7215B">
        <w:rPr>
          <w:i w:val="0"/>
          <w:iCs/>
        </w:rPr>
        <w:t>no conflict of interest related to this manuscript.</w:t>
      </w:r>
    </w:p>
    <w:p w14:paraId="0627F9A1" w14:textId="77777777" w:rsidR="002129BE" w:rsidRPr="002129BE" w:rsidRDefault="002129BE" w:rsidP="002129BE">
      <w:pPr>
        <w:pStyle w:val="Articalhistory"/>
        <w:spacing w:line="240" w:lineRule="auto"/>
        <w:jc w:val="both"/>
        <w:rPr>
          <w:i w:val="0"/>
          <w:iCs/>
        </w:rPr>
      </w:pPr>
    </w:p>
    <w:p w14:paraId="6BBAF3E0" w14:textId="0C581445" w:rsidR="00717BCE" w:rsidRDefault="00717BCE" w:rsidP="00717BCE">
      <w:pPr>
        <w:pStyle w:val="NoSpacing"/>
        <w:rPr>
          <w:b/>
          <w:bCs/>
          <w:rtl/>
        </w:rPr>
      </w:pPr>
      <w:r>
        <w:rPr>
          <w:b/>
          <w:bCs/>
        </w:rPr>
        <w:t>References</w:t>
      </w:r>
    </w:p>
    <w:p w14:paraId="606EF839" w14:textId="1F3791CD"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 xml:space="preserve">Gao Y, Zhang Y, Liu X. Rheumatoid arthritis: pathogenesis and therapeutic advances. </w:t>
      </w:r>
      <w:proofErr w:type="spellStart"/>
      <w:r w:rsidRPr="00C7215B">
        <w:rPr>
          <w:rFonts w:eastAsia="Times New Roman"/>
          <w:color w:val="auto"/>
          <w:sz w:val="24"/>
          <w:szCs w:val="22"/>
        </w:rPr>
        <w:t>MedComm</w:t>
      </w:r>
      <w:proofErr w:type="spellEnd"/>
      <w:r w:rsidRPr="00C7215B">
        <w:rPr>
          <w:rFonts w:eastAsia="Times New Roman"/>
          <w:color w:val="auto"/>
          <w:sz w:val="24"/>
          <w:szCs w:val="22"/>
        </w:rPr>
        <w:t>. 2024;5(3):</w:t>
      </w:r>
      <w:r w:rsidR="00D03FD0">
        <w:rPr>
          <w:rFonts w:eastAsia="Times New Roman"/>
          <w:color w:val="auto"/>
          <w:sz w:val="24"/>
          <w:szCs w:val="22"/>
        </w:rPr>
        <w:t xml:space="preserve"> </w:t>
      </w:r>
      <w:r w:rsidRPr="00C7215B">
        <w:rPr>
          <w:rFonts w:eastAsia="Times New Roman"/>
          <w:color w:val="auto"/>
          <w:sz w:val="24"/>
          <w:szCs w:val="22"/>
        </w:rPr>
        <w:t>e509.</w:t>
      </w:r>
      <w:r w:rsidR="00B34AE2" w:rsidRPr="00B34AE2">
        <w:t xml:space="preserve"> </w:t>
      </w:r>
      <w:r w:rsidR="00DA4386" w:rsidRPr="00F332EB">
        <w:rPr>
          <w:rFonts w:cstheme="majorBidi"/>
          <w:color w:val="4472C4" w:themeColor="accent1"/>
          <w:sz w:val="24"/>
          <w:u w:val="single"/>
        </w:rPr>
        <w:t>https://doi.org/</w:t>
      </w:r>
      <w:r w:rsidR="00B34AE2" w:rsidRPr="00B34AE2">
        <w:rPr>
          <w:rFonts w:eastAsia="Times New Roman"/>
          <w:color w:val="227ACB"/>
          <w:sz w:val="24"/>
          <w:szCs w:val="22"/>
          <w:u w:val="single"/>
        </w:rPr>
        <w:t>10.1002/mco2.509.</w:t>
      </w:r>
    </w:p>
    <w:p w14:paraId="1C358038" w14:textId="0122144C" w:rsidR="00C7215B" w:rsidRPr="00C7215B" w:rsidRDefault="00C7215B" w:rsidP="00520293">
      <w:pPr>
        <w:numPr>
          <w:ilvl w:val="0"/>
          <w:numId w:val="3"/>
        </w:numPr>
        <w:spacing w:after="0" w:line="240" w:lineRule="auto"/>
        <w:jc w:val="both"/>
        <w:rPr>
          <w:rFonts w:eastAsia="Times New Roman"/>
          <w:color w:val="auto"/>
          <w:sz w:val="24"/>
          <w:szCs w:val="22"/>
        </w:rPr>
      </w:pPr>
      <w:proofErr w:type="spellStart"/>
      <w:r w:rsidRPr="00C7215B">
        <w:rPr>
          <w:rFonts w:eastAsia="Times New Roman"/>
          <w:color w:val="auto"/>
          <w:sz w:val="24"/>
          <w:szCs w:val="22"/>
        </w:rPr>
        <w:t>Finckh</w:t>
      </w:r>
      <w:proofErr w:type="spellEnd"/>
      <w:r w:rsidRPr="00C7215B">
        <w:rPr>
          <w:rFonts w:eastAsia="Times New Roman"/>
          <w:color w:val="auto"/>
          <w:sz w:val="24"/>
          <w:szCs w:val="22"/>
        </w:rPr>
        <w:t xml:space="preserve"> A, Gilbert B, Hodkinson B, Bae SC, Thomas R, Deane KD, Alpizar-Rodriguez D, Lauper K. Global epidemiology of rheumatoid arthritis. Nat Rev </w:t>
      </w:r>
      <w:proofErr w:type="spellStart"/>
      <w:r w:rsidRPr="00C7215B">
        <w:rPr>
          <w:rFonts w:eastAsia="Times New Roman"/>
          <w:color w:val="auto"/>
          <w:sz w:val="24"/>
          <w:szCs w:val="22"/>
        </w:rPr>
        <w:t>Rheumatol</w:t>
      </w:r>
      <w:proofErr w:type="spellEnd"/>
      <w:r w:rsidRPr="00C7215B">
        <w:rPr>
          <w:rFonts w:eastAsia="Times New Roman"/>
          <w:color w:val="auto"/>
          <w:sz w:val="24"/>
          <w:szCs w:val="22"/>
        </w:rPr>
        <w:t>. 2022;18(10):591-602.</w:t>
      </w:r>
      <w:r w:rsidR="000504F3" w:rsidRPr="000504F3">
        <w:rPr>
          <w:rFonts w:cstheme="majorBidi"/>
          <w:color w:val="auto"/>
          <w:sz w:val="24"/>
          <w:u w:val="single"/>
        </w:rPr>
        <w:t xml:space="preserve"> </w:t>
      </w:r>
      <w:r w:rsidR="00DA4386" w:rsidRPr="00F332EB">
        <w:rPr>
          <w:rFonts w:cstheme="majorBidi"/>
          <w:color w:val="4472C4" w:themeColor="accent1"/>
          <w:sz w:val="24"/>
          <w:u w:val="single"/>
        </w:rPr>
        <w:t>https://doi.org/</w:t>
      </w:r>
      <w:r w:rsidR="00B34AE2" w:rsidRPr="00B34AE2">
        <w:rPr>
          <w:rFonts w:eastAsia="Times New Roman"/>
          <w:color w:val="227ACB"/>
          <w:sz w:val="24"/>
          <w:szCs w:val="22"/>
          <w:u w:val="single"/>
        </w:rPr>
        <w:t>10.1038/s41584-022-00827-y.</w:t>
      </w:r>
    </w:p>
    <w:p w14:paraId="4B84B232" w14:textId="4DA2C345" w:rsidR="00C7215B" w:rsidRPr="00C7215B" w:rsidRDefault="00C7215B" w:rsidP="00520293">
      <w:pPr>
        <w:numPr>
          <w:ilvl w:val="0"/>
          <w:numId w:val="3"/>
        </w:numPr>
        <w:spacing w:after="0" w:line="240" w:lineRule="auto"/>
        <w:jc w:val="both"/>
        <w:rPr>
          <w:rFonts w:eastAsia="Times New Roman"/>
          <w:color w:val="auto"/>
          <w:sz w:val="24"/>
          <w:szCs w:val="22"/>
        </w:rPr>
      </w:pPr>
      <w:proofErr w:type="spellStart"/>
      <w:r w:rsidRPr="00C7215B">
        <w:rPr>
          <w:rFonts w:eastAsia="Times New Roman"/>
          <w:color w:val="auto"/>
          <w:sz w:val="24"/>
          <w:szCs w:val="22"/>
        </w:rPr>
        <w:t>Weyand</w:t>
      </w:r>
      <w:proofErr w:type="spellEnd"/>
      <w:r w:rsidRPr="00C7215B">
        <w:rPr>
          <w:rFonts w:eastAsia="Times New Roman"/>
          <w:color w:val="auto"/>
          <w:sz w:val="24"/>
          <w:szCs w:val="22"/>
        </w:rPr>
        <w:t xml:space="preserve"> CM, </w:t>
      </w:r>
      <w:proofErr w:type="spellStart"/>
      <w:r w:rsidRPr="00C7215B">
        <w:rPr>
          <w:rFonts w:eastAsia="Times New Roman"/>
          <w:color w:val="auto"/>
          <w:sz w:val="24"/>
          <w:szCs w:val="22"/>
        </w:rPr>
        <w:t>Goronzy</w:t>
      </w:r>
      <w:proofErr w:type="spellEnd"/>
      <w:r w:rsidRPr="00C7215B">
        <w:rPr>
          <w:rFonts w:eastAsia="Times New Roman"/>
          <w:color w:val="auto"/>
          <w:sz w:val="24"/>
          <w:szCs w:val="22"/>
        </w:rPr>
        <w:t xml:space="preserve"> JJ. The immunology of rheumatoid arthritis. Nat Immunol. 2021;22(1):10-8.</w:t>
      </w:r>
      <w:r w:rsidR="00B34AE2" w:rsidRPr="00B34AE2">
        <w:t xml:space="preserve"> </w:t>
      </w:r>
      <w:r w:rsidR="00DA4386" w:rsidRPr="00F332EB">
        <w:rPr>
          <w:rFonts w:cstheme="majorBidi"/>
          <w:color w:val="4472C4" w:themeColor="accent1"/>
          <w:sz w:val="24"/>
          <w:u w:val="single"/>
        </w:rPr>
        <w:t>https://doi.org/</w:t>
      </w:r>
      <w:r w:rsidR="00B34AE2" w:rsidRPr="00B34AE2">
        <w:rPr>
          <w:rFonts w:eastAsia="Times New Roman"/>
          <w:color w:val="227ACB"/>
          <w:sz w:val="24"/>
          <w:szCs w:val="22"/>
          <w:u w:val="single"/>
        </w:rPr>
        <w:t>10.1038/s41590-020-00816-x</w:t>
      </w:r>
      <w:r w:rsidR="00B34AE2" w:rsidRPr="00B34AE2">
        <w:rPr>
          <w:rFonts w:eastAsia="Times New Roman"/>
          <w:color w:val="auto"/>
          <w:sz w:val="24"/>
          <w:szCs w:val="22"/>
        </w:rPr>
        <w:t>.</w:t>
      </w:r>
    </w:p>
    <w:p w14:paraId="3CB4F770" w14:textId="160ED1B6"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Song J, Kim SR, Kim YJ, Park SJ, Jeong S, Park SM. Risk of hematologic malignancies in psoriasis and rheumatoid arthritis patients using long-term TNF-α inhibitors: a retrospective nationwide study. Sci Rep. 2025;15(1):7949.</w:t>
      </w:r>
      <w:r w:rsidR="00B34AE2" w:rsidRPr="00B34AE2">
        <w:t xml:space="preserve"> </w:t>
      </w:r>
      <w:r w:rsidR="00DA4386" w:rsidRPr="00F332EB">
        <w:rPr>
          <w:rFonts w:cstheme="majorBidi"/>
          <w:color w:val="4472C4" w:themeColor="accent1"/>
          <w:sz w:val="24"/>
          <w:u w:val="single"/>
        </w:rPr>
        <w:t>https://doi.org/</w:t>
      </w:r>
      <w:r w:rsidR="00B34AE2" w:rsidRPr="00B34AE2">
        <w:rPr>
          <w:rFonts w:eastAsia="Times New Roman"/>
          <w:color w:val="227ACB"/>
          <w:sz w:val="24"/>
          <w:szCs w:val="22"/>
          <w:u w:val="single"/>
        </w:rPr>
        <w:t>10.1038/s41598-025-90996-z</w:t>
      </w:r>
    </w:p>
    <w:p w14:paraId="05856446" w14:textId="272C8168" w:rsidR="00C7215B" w:rsidRPr="00C7215B" w:rsidRDefault="00C7215B" w:rsidP="00520293">
      <w:pPr>
        <w:numPr>
          <w:ilvl w:val="0"/>
          <w:numId w:val="3"/>
        </w:numPr>
        <w:spacing w:after="0" w:line="240" w:lineRule="auto"/>
        <w:jc w:val="both"/>
        <w:rPr>
          <w:rFonts w:eastAsia="Times New Roman"/>
          <w:color w:val="auto"/>
          <w:sz w:val="24"/>
          <w:szCs w:val="22"/>
        </w:rPr>
      </w:pPr>
      <w:proofErr w:type="spellStart"/>
      <w:r w:rsidRPr="00C7215B">
        <w:rPr>
          <w:rFonts w:eastAsia="Times New Roman"/>
          <w:color w:val="auto"/>
          <w:sz w:val="24"/>
          <w:szCs w:val="22"/>
        </w:rPr>
        <w:t>Karami</w:t>
      </w:r>
      <w:proofErr w:type="spellEnd"/>
      <w:r w:rsidRPr="00C7215B">
        <w:rPr>
          <w:rFonts w:eastAsia="Times New Roman"/>
          <w:color w:val="auto"/>
          <w:sz w:val="24"/>
          <w:szCs w:val="22"/>
        </w:rPr>
        <w:t xml:space="preserve"> P, </w:t>
      </w:r>
      <w:proofErr w:type="spellStart"/>
      <w:r w:rsidRPr="00C7215B">
        <w:rPr>
          <w:rFonts w:eastAsia="Times New Roman"/>
          <w:color w:val="auto"/>
          <w:sz w:val="24"/>
          <w:szCs w:val="22"/>
        </w:rPr>
        <w:t>Gholamin</w:t>
      </w:r>
      <w:proofErr w:type="spellEnd"/>
      <w:r w:rsidRPr="00C7215B">
        <w:rPr>
          <w:rFonts w:eastAsia="Times New Roman"/>
          <w:color w:val="auto"/>
          <w:sz w:val="24"/>
          <w:szCs w:val="22"/>
        </w:rPr>
        <w:t xml:space="preserve"> D, </w:t>
      </w:r>
      <w:proofErr w:type="spellStart"/>
      <w:r w:rsidRPr="00C7215B">
        <w:rPr>
          <w:rFonts w:eastAsia="Times New Roman"/>
          <w:color w:val="auto"/>
          <w:sz w:val="24"/>
          <w:szCs w:val="22"/>
        </w:rPr>
        <w:t>Fathi</w:t>
      </w:r>
      <w:proofErr w:type="spellEnd"/>
      <w:r w:rsidRPr="00C7215B">
        <w:rPr>
          <w:rFonts w:eastAsia="Times New Roman"/>
          <w:color w:val="auto"/>
          <w:sz w:val="24"/>
          <w:szCs w:val="22"/>
        </w:rPr>
        <w:t xml:space="preserve"> F, Afsar T, Johari-Ahar M. Anti-CCP biosensors in rheumatoid arthritis. Clin Chim Acta. 2024;119767. </w:t>
      </w:r>
      <w:r w:rsidR="000504F3" w:rsidRPr="000504F3">
        <w:rPr>
          <w:rFonts w:cstheme="majorBidi"/>
          <w:color w:val="auto"/>
          <w:sz w:val="24"/>
        </w:rPr>
        <w:t>Doi:</w:t>
      </w:r>
      <w:r w:rsidR="000504F3">
        <w:rPr>
          <w:rFonts w:eastAsia="Times New Roman"/>
          <w:color w:val="227ACB"/>
          <w:sz w:val="24"/>
          <w:szCs w:val="22"/>
          <w:u w:val="single"/>
        </w:rPr>
        <w:t xml:space="preserve"> </w:t>
      </w:r>
      <w:r w:rsidRPr="00991538">
        <w:rPr>
          <w:rFonts w:eastAsia="Times New Roman"/>
          <w:color w:val="227ACB"/>
          <w:sz w:val="24"/>
          <w:szCs w:val="22"/>
          <w:u w:val="single"/>
        </w:rPr>
        <w:t>https://doi.org/10.1016/j.cca.2024.119767</w:t>
      </w:r>
    </w:p>
    <w:p w14:paraId="69648A13" w14:textId="6D7DECF7"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lang w:val="sv-SE"/>
        </w:rPr>
        <w:t xml:space="preserve">Makhe PA, Vagga AA, Vagga Sr AA. </w:t>
      </w:r>
      <w:r w:rsidRPr="00C7215B">
        <w:rPr>
          <w:rFonts w:eastAsia="Times New Roman"/>
          <w:color w:val="auto"/>
          <w:sz w:val="24"/>
          <w:szCs w:val="22"/>
        </w:rPr>
        <w:t>Comparison of Adenosine Deaminase, C-reactive Protein, Uric Acid, and Rheumatoid Arthritis Levels in Patients</w:t>
      </w:r>
      <w:r w:rsidR="00D03FD0">
        <w:rPr>
          <w:rFonts w:eastAsia="Times New Roman"/>
          <w:color w:val="auto"/>
          <w:sz w:val="24"/>
          <w:szCs w:val="22"/>
        </w:rPr>
        <w:t xml:space="preserve"> </w:t>
      </w:r>
      <w:r w:rsidRPr="00C7215B">
        <w:rPr>
          <w:rFonts w:eastAsia="Times New Roman"/>
          <w:color w:val="auto"/>
          <w:sz w:val="24"/>
          <w:szCs w:val="22"/>
        </w:rPr>
        <w:t>With</w:t>
      </w:r>
      <w:r w:rsidR="00D03FD0">
        <w:rPr>
          <w:rFonts w:eastAsia="Times New Roman"/>
          <w:color w:val="auto"/>
          <w:sz w:val="24"/>
          <w:szCs w:val="22"/>
        </w:rPr>
        <w:t xml:space="preserve"> </w:t>
      </w:r>
      <w:r w:rsidRPr="00C7215B">
        <w:rPr>
          <w:rFonts w:eastAsia="Times New Roman"/>
          <w:color w:val="auto"/>
          <w:sz w:val="24"/>
          <w:szCs w:val="22"/>
        </w:rPr>
        <w:t xml:space="preserve">Rheumatoid Arthritis and Those Without Arthritis: A Review. Cureus. 2024;16(4). </w:t>
      </w:r>
      <w:r w:rsidR="00DA4386" w:rsidRPr="00F332EB">
        <w:rPr>
          <w:rFonts w:cstheme="majorBidi"/>
          <w:color w:val="4472C4" w:themeColor="accent1"/>
          <w:sz w:val="24"/>
          <w:u w:val="single"/>
        </w:rPr>
        <w:t>https://doi.org/</w:t>
      </w:r>
      <w:r w:rsidR="00641241">
        <w:rPr>
          <w:rFonts w:cstheme="majorBidi"/>
          <w:color w:val="auto"/>
          <w:sz w:val="24"/>
          <w:u w:val="single"/>
        </w:rPr>
        <w:t xml:space="preserve"> </w:t>
      </w:r>
      <w:r w:rsidRPr="00991538">
        <w:rPr>
          <w:rFonts w:eastAsia="Times New Roman"/>
          <w:color w:val="227ACB"/>
          <w:sz w:val="24"/>
          <w:szCs w:val="22"/>
          <w:u w:val="single"/>
        </w:rPr>
        <w:t>https://doi.org/10.7759/cureus.48807</w:t>
      </w:r>
    </w:p>
    <w:p w14:paraId="5111E107" w14:textId="32D50D25"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lang w:val="sv-SE"/>
        </w:rPr>
        <w:t xml:space="preserve">Scherer HU, Häupl T, Burmester GR. </w:t>
      </w:r>
      <w:r w:rsidRPr="00C7215B">
        <w:rPr>
          <w:rFonts w:eastAsia="Times New Roman"/>
          <w:color w:val="auto"/>
          <w:sz w:val="24"/>
          <w:szCs w:val="22"/>
        </w:rPr>
        <w:t xml:space="preserve">The </w:t>
      </w:r>
      <w:proofErr w:type="spellStart"/>
      <w:r w:rsidRPr="00C7215B">
        <w:rPr>
          <w:rFonts w:eastAsia="Times New Roman"/>
          <w:color w:val="auto"/>
          <w:sz w:val="24"/>
          <w:szCs w:val="22"/>
        </w:rPr>
        <w:t>etiology</w:t>
      </w:r>
      <w:proofErr w:type="spellEnd"/>
      <w:r w:rsidRPr="00C7215B">
        <w:rPr>
          <w:rFonts w:eastAsia="Times New Roman"/>
          <w:color w:val="auto"/>
          <w:sz w:val="24"/>
          <w:szCs w:val="22"/>
        </w:rPr>
        <w:t xml:space="preserve"> of rheumatoid arthritis. J </w:t>
      </w:r>
      <w:proofErr w:type="spellStart"/>
      <w:r w:rsidRPr="00C7215B">
        <w:rPr>
          <w:rFonts w:eastAsia="Times New Roman"/>
          <w:color w:val="auto"/>
          <w:sz w:val="24"/>
          <w:szCs w:val="22"/>
        </w:rPr>
        <w:t>Autoimmun</w:t>
      </w:r>
      <w:proofErr w:type="spellEnd"/>
      <w:r w:rsidRPr="00C7215B">
        <w:rPr>
          <w:rFonts w:eastAsia="Times New Roman"/>
          <w:color w:val="auto"/>
          <w:sz w:val="24"/>
          <w:szCs w:val="22"/>
        </w:rPr>
        <w:t>. 2020;110:</w:t>
      </w:r>
      <w:r w:rsidR="00D03FD0">
        <w:rPr>
          <w:rFonts w:eastAsia="Times New Roman"/>
          <w:color w:val="auto"/>
          <w:sz w:val="24"/>
          <w:szCs w:val="22"/>
        </w:rPr>
        <w:t xml:space="preserve"> </w:t>
      </w:r>
      <w:r w:rsidRPr="00C7215B">
        <w:rPr>
          <w:rFonts w:eastAsia="Times New Roman"/>
          <w:color w:val="auto"/>
          <w:sz w:val="24"/>
          <w:szCs w:val="22"/>
        </w:rPr>
        <w:t>102400.</w:t>
      </w:r>
      <w:r w:rsidR="00B34AE2" w:rsidRPr="00B34AE2">
        <w:t xml:space="preserve"> </w:t>
      </w:r>
      <w:r w:rsidR="00DA4386" w:rsidRPr="00F332EB">
        <w:rPr>
          <w:rFonts w:cstheme="majorBidi"/>
          <w:color w:val="4472C4" w:themeColor="accent1"/>
          <w:sz w:val="24"/>
          <w:u w:val="single"/>
        </w:rPr>
        <w:t>https://doi.org/</w:t>
      </w:r>
      <w:r w:rsidR="00B34AE2" w:rsidRPr="00B34AE2">
        <w:rPr>
          <w:rFonts w:eastAsia="Times New Roman"/>
          <w:color w:val="227ACB"/>
          <w:sz w:val="24"/>
          <w:szCs w:val="22"/>
          <w:u w:val="single"/>
        </w:rPr>
        <w:t>10.1016/j.jaut.2019.102400</w:t>
      </w:r>
      <w:r w:rsidR="00B34AE2" w:rsidRPr="00B34AE2">
        <w:rPr>
          <w:rFonts w:eastAsia="Times New Roman"/>
          <w:color w:val="auto"/>
          <w:sz w:val="24"/>
          <w:szCs w:val="22"/>
        </w:rPr>
        <w:t>.</w:t>
      </w:r>
    </w:p>
    <w:p w14:paraId="35F2B97D" w14:textId="65A327DA"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lang w:val="sv-SE"/>
        </w:rPr>
        <w:t xml:space="preserve">Gialouri CG, Pappa M, Evangelatos G, Nikiphorou E, Fragoulis GE. </w:t>
      </w:r>
      <w:r w:rsidRPr="00C7215B">
        <w:rPr>
          <w:rFonts w:eastAsia="Times New Roman"/>
          <w:color w:val="auto"/>
          <w:sz w:val="24"/>
          <w:szCs w:val="22"/>
        </w:rPr>
        <w:t xml:space="preserve">Effect of body mass index on treatment response of biologic/targeted-synthetic DMARDs in patients with rheumatoid arthritis, psoriatic arthritis, or axial spondyloarthritis: A systematic </w:t>
      </w:r>
      <w:r w:rsidRPr="00C7215B">
        <w:rPr>
          <w:rFonts w:eastAsia="Times New Roman"/>
          <w:color w:val="auto"/>
          <w:sz w:val="24"/>
          <w:szCs w:val="22"/>
        </w:rPr>
        <w:lastRenderedPageBreak/>
        <w:t xml:space="preserve">review. </w:t>
      </w:r>
      <w:proofErr w:type="spellStart"/>
      <w:r w:rsidRPr="00C7215B">
        <w:rPr>
          <w:rFonts w:eastAsia="Times New Roman"/>
          <w:color w:val="auto"/>
          <w:sz w:val="24"/>
          <w:szCs w:val="22"/>
        </w:rPr>
        <w:t>Autoimmun</w:t>
      </w:r>
      <w:proofErr w:type="spellEnd"/>
      <w:r w:rsidRPr="00C7215B">
        <w:rPr>
          <w:rFonts w:eastAsia="Times New Roman"/>
          <w:color w:val="auto"/>
          <w:sz w:val="24"/>
          <w:szCs w:val="22"/>
        </w:rPr>
        <w:t xml:space="preserve"> Rev. 2023;22(7):103357.</w:t>
      </w:r>
      <w:r w:rsidR="00B34AE2" w:rsidRPr="00B34AE2">
        <w:t xml:space="preserve"> </w:t>
      </w:r>
      <w:r w:rsidR="00DA4386" w:rsidRPr="00F332EB">
        <w:rPr>
          <w:rFonts w:cstheme="majorBidi"/>
          <w:color w:val="4472C4" w:themeColor="accent1"/>
          <w:sz w:val="24"/>
          <w:u w:val="single"/>
        </w:rPr>
        <w:t>https://doi.org/</w:t>
      </w:r>
      <w:r w:rsidR="00B34AE2" w:rsidRPr="00B34AE2">
        <w:rPr>
          <w:rFonts w:eastAsia="Times New Roman"/>
          <w:color w:val="227ACB"/>
          <w:sz w:val="24"/>
          <w:szCs w:val="22"/>
          <w:u w:val="single"/>
        </w:rPr>
        <w:t>10.1016/j.autrev.2023.103357</w:t>
      </w:r>
      <w:r w:rsidR="00B34AE2" w:rsidRPr="00B34AE2">
        <w:rPr>
          <w:rFonts w:eastAsia="Times New Roman"/>
          <w:color w:val="auto"/>
          <w:sz w:val="24"/>
          <w:szCs w:val="22"/>
        </w:rPr>
        <w:t>.</w:t>
      </w:r>
    </w:p>
    <w:p w14:paraId="3BC2B21F" w14:textId="66A3DFE7" w:rsidR="00C7215B" w:rsidRPr="00C7215B" w:rsidRDefault="00C7215B" w:rsidP="00520293">
      <w:pPr>
        <w:numPr>
          <w:ilvl w:val="0"/>
          <w:numId w:val="3"/>
        </w:numPr>
        <w:spacing w:after="0" w:line="240" w:lineRule="auto"/>
        <w:jc w:val="both"/>
        <w:rPr>
          <w:rFonts w:eastAsia="Times New Roman"/>
          <w:color w:val="auto"/>
          <w:sz w:val="24"/>
          <w:szCs w:val="22"/>
        </w:rPr>
      </w:pPr>
      <w:proofErr w:type="spellStart"/>
      <w:r w:rsidRPr="00C7215B">
        <w:rPr>
          <w:rFonts w:eastAsia="Times New Roman"/>
          <w:color w:val="auto"/>
          <w:sz w:val="24"/>
          <w:szCs w:val="22"/>
        </w:rPr>
        <w:t>Ardanny</w:t>
      </w:r>
      <w:proofErr w:type="spellEnd"/>
      <w:r w:rsidRPr="00C7215B">
        <w:rPr>
          <w:rFonts w:eastAsia="Times New Roman"/>
          <w:color w:val="auto"/>
          <w:sz w:val="24"/>
          <w:szCs w:val="22"/>
        </w:rPr>
        <w:t xml:space="preserve"> A. Pathophysiology and management of refractory rheumatoid arthritis: A narrative literature review. </w:t>
      </w:r>
      <w:proofErr w:type="spellStart"/>
      <w:r w:rsidRPr="00C7215B">
        <w:rPr>
          <w:rFonts w:eastAsia="Times New Roman"/>
          <w:color w:val="auto"/>
          <w:sz w:val="24"/>
          <w:szCs w:val="22"/>
        </w:rPr>
        <w:t>Bioscientia</w:t>
      </w:r>
      <w:proofErr w:type="spellEnd"/>
      <w:r w:rsidRPr="00C7215B">
        <w:rPr>
          <w:rFonts w:eastAsia="Times New Roman"/>
          <w:color w:val="auto"/>
          <w:sz w:val="24"/>
          <w:szCs w:val="22"/>
        </w:rPr>
        <w:t xml:space="preserve"> Med. 2024;8(4):4239-46.</w:t>
      </w:r>
      <w:r w:rsidR="00B34AE2" w:rsidRPr="00B34AE2">
        <w:t xml:space="preserve"> </w:t>
      </w:r>
      <w:r w:rsidR="00DA4386" w:rsidRPr="00F332EB">
        <w:rPr>
          <w:rFonts w:cstheme="majorBidi"/>
          <w:color w:val="4472C4" w:themeColor="accent1"/>
          <w:sz w:val="24"/>
          <w:u w:val="single"/>
        </w:rPr>
        <w:t>https://doi.org/</w:t>
      </w:r>
      <w:r w:rsidR="00B34AE2" w:rsidRPr="00B34AE2">
        <w:rPr>
          <w:rFonts w:eastAsia="Times New Roman"/>
          <w:color w:val="227ACB"/>
          <w:sz w:val="24"/>
          <w:szCs w:val="22"/>
          <w:u w:val="single"/>
        </w:rPr>
        <w:t>10.37275/bsm.v8i4.966</w:t>
      </w:r>
    </w:p>
    <w:p w14:paraId="37383491" w14:textId="13A0E5F8"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de Candia P, Procaccini C, Russo C, Lepore MT, Matarese G. Regulatory T cells as metabolic sensors. Immunity. 2022;55(11):1981-92.</w:t>
      </w:r>
      <w:r w:rsidR="001E57FA" w:rsidRPr="001E57FA">
        <w:t xml:space="preserve"> </w:t>
      </w:r>
      <w:r w:rsidR="00DA4386" w:rsidRPr="00F332EB">
        <w:rPr>
          <w:rFonts w:cstheme="majorBidi"/>
          <w:color w:val="4472C4" w:themeColor="accent1"/>
          <w:sz w:val="24"/>
          <w:u w:val="single"/>
        </w:rPr>
        <w:t>https://doi.org/</w:t>
      </w:r>
      <w:r w:rsidR="001E57FA" w:rsidRPr="001E57FA">
        <w:rPr>
          <w:rFonts w:eastAsia="Times New Roman"/>
          <w:color w:val="227ACB"/>
          <w:sz w:val="24"/>
          <w:szCs w:val="22"/>
          <w:u w:val="single"/>
        </w:rPr>
        <w:t>10.1016/j.immuni.2022.10.006</w:t>
      </w:r>
      <w:r w:rsidR="001E57FA" w:rsidRPr="001E57FA">
        <w:rPr>
          <w:rFonts w:eastAsia="Times New Roman"/>
          <w:color w:val="auto"/>
          <w:sz w:val="24"/>
          <w:szCs w:val="22"/>
        </w:rPr>
        <w:t>.</w:t>
      </w:r>
    </w:p>
    <w:p w14:paraId="02456856" w14:textId="09E31D22"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 xml:space="preserve">Van Riel PL, </w:t>
      </w:r>
      <w:proofErr w:type="spellStart"/>
      <w:r w:rsidRPr="00C7215B">
        <w:rPr>
          <w:rFonts w:eastAsia="Times New Roman"/>
          <w:color w:val="auto"/>
          <w:sz w:val="24"/>
          <w:szCs w:val="22"/>
        </w:rPr>
        <w:t>Renskers</w:t>
      </w:r>
      <w:proofErr w:type="spellEnd"/>
      <w:r w:rsidRPr="00C7215B">
        <w:rPr>
          <w:rFonts w:eastAsia="Times New Roman"/>
          <w:color w:val="auto"/>
          <w:sz w:val="24"/>
          <w:szCs w:val="22"/>
        </w:rPr>
        <w:t xml:space="preserve"> L. The Disease Activity Score (DAS) and the Disease Activity Score using 28 joint counts (DAS28) in the management of rheumatoid arthritis. </w:t>
      </w:r>
      <w:proofErr w:type="spellStart"/>
      <w:r w:rsidRPr="00C7215B">
        <w:rPr>
          <w:rFonts w:eastAsia="Times New Roman"/>
          <w:color w:val="auto"/>
          <w:sz w:val="24"/>
          <w:szCs w:val="22"/>
        </w:rPr>
        <w:t>Clin</w:t>
      </w:r>
      <w:proofErr w:type="spellEnd"/>
      <w:r w:rsidRPr="00C7215B">
        <w:rPr>
          <w:rFonts w:eastAsia="Times New Roman"/>
          <w:color w:val="auto"/>
          <w:sz w:val="24"/>
          <w:szCs w:val="22"/>
        </w:rPr>
        <w:t xml:space="preserve"> </w:t>
      </w:r>
      <w:proofErr w:type="spellStart"/>
      <w:r w:rsidRPr="00C7215B">
        <w:rPr>
          <w:rFonts w:eastAsia="Times New Roman"/>
          <w:color w:val="auto"/>
          <w:sz w:val="24"/>
          <w:szCs w:val="22"/>
        </w:rPr>
        <w:t>Exp</w:t>
      </w:r>
      <w:proofErr w:type="spellEnd"/>
      <w:r w:rsidRPr="00C7215B">
        <w:rPr>
          <w:rFonts w:eastAsia="Times New Roman"/>
          <w:color w:val="auto"/>
          <w:sz w:val="24"/>
          <w:szCs w:val="22"/>
        </w:rPr>
        <w:t xml:space="preserve"> </w:t>
      </w:r>
      <w:proofErr w:type="spellStart"/>
      <w:r w:rsidRPr="00C7215B">
        <w:rPr>
          <w:rFonts w:eastAsia="Times New Roman"/>
          <w:color w:val="auto"/>
          <w:sz w:val="24"/>
          <w:szCs w:val="22"/>
        </w:rPr>
        <w:t>Rheumatol</w:t>
      </w:r>
      <w:proofErr w:type="spellEnd"/>
      <w:r w:rsidRPr="00C7215B">
        <w:rPr>
          <w:rFonts w:eastAsia="Times New Roman"/>
          <w:color w:val="auto"/>
          <w:sz w:val="24"/>
          <w:szCs w:val="22"/>
        </w:rPr>
        <w:t xml:space="preserve">. 2016;34(5 </w:t>
      </w:r>
      <w:proofErr w:type="spellStart"/>
      <w:r w:rsidRPr="00C7215B">
        <w:rPr>
          <w:rFonts w:eastAsia="Times New Roman"/>
          <w:color w:val="auto"/>
          <w:sz w:val="24"/>
          <w:szCs w:val="22"/>
        </w:rPr>
        <w:t>Suppl</w:t>
      </w:r>
      <w:proofErr w:type="spellEnd"/>
      <w:r w:rsidRPr="00C7215B">
        <w:rPr>
          <w:rFonts w:eastAsia="Times New Roman"/>
          <w:color w:val="auto"/>
          <w:sz w:val="24"/>
          <w:szCs w:val="22"/>
        </w:rPr>
        <w:t xml:space="preserve"> 101):</w:t>
      </w:r>
      <w:r w:rsidR="00D03FD0">
        <w:rPr>
          <w:rFonts w:eastAsia="Times New Roman"/>
          <w:color w:val="auto"/>
          <w:sz w:val="24"/>
          <w:szCs w:val="22"/>
        </w:rPr>
        <w:t xml:space="preserve"> </w:t>
      </w:r>
      <w:r w:rsidRPr="00C7215B">
        <w:rPr>
          <w:rFonts w:eastAsia="Times New Roman"/>
          <w:color w:val="auto"/>
          <w:sz w:val="24"/>
          <w:szCs w:val="22"/>
        </w:rPr>
        <w:t>S40-4.</w:t>
      </w:r>
    </w:p>
    <w:p w14:paraId="3BC04D8F" w14:textId="2FBA46CC"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Liou LB, Fang YF, Tsai PH, Chen YF, Chang CT, Chen CC, et al. Immunoregulatory cells and cytokines discriminate Disease Activity Score 28-remission statuses and ultrasound grades in rheumatoid arthritis patients with non-high disease activity. Int J Mol Sci. 2024;25(16):8694.</w:t>
      </w:r>
      <w:r w:rsidR="001E57FA" w:rsidRPr="001E57FA">
        <w:t xml:space="preserve"> </w:t>
      </w:r>
      <w:r w:rsidR="00DA4386" w:rsidRPr="00F332EB">
        <w:rPr>
          <w:rFonts w:cstheme="majorBidi"/>
          <w:color w:val="4472C4" w:themeColor="accent1"/>
          <w:sz w:val="24"/>
          <w:u w:val="single"/>
        </w:rPr>
        <w:t>https://doi.org/</w:t>
      </w:r>
      <w:r w:rsidR="001E57FA" w:rsidRPr="001E57FA">
        <w:rPr>
          <w:rFonts w:eastAsia="Times New Roman"/>
          <w:color w:val="227ACB"/>
          <w:sz w:val="24"/>
          <w:szCs w:val="22"/>
          <w:u w:val="single"/>
        </w:rPr>
        <w:t>10.3390/ijms25168694</w:t>
      </w:r>
      <w:r w:rsidR="001E57FA">
        <w:rPr>
          <w:rFonts w:eastAsia="Times New Roman"/>
          <w:color w:val="227ACB"/>
          <w:sz w:val="24"/>
          <w:szCs w:val="22"/>
          <w:u w:val="single"/>
        </w:rPr>
        <w:t xml:space="preserve"> </w:t>
      </w:r>
    </w:p>
    <w:p w14:paraId="5B6C4822" w14:textId="0C0A7975" w:rsidR="00C7215B" w:rsidRPr="001E57FA" w:rsidRDefault="00C7215B" w:rsidP="00520293">
      <w:pPr>
        <w:numPr>
          <w:ilvl w:val="0"/>
          <w:numId w:val="3"/>
        </w:numPr>
        <w:spacing w:after="0" w:line="240" w:lineRule="auto"/>
        <w:jc w:val="both"/>
        <w:rPr>
          <w:rFonts w:eastAsia="Times New Roman"/>
          <w:color w:val="227ACB"/>
          <w:sz w:val="24"/>
          <w:szCs w:val="22"/>
          <w:u w:val="single"/>
        </w:rPr>
      </w:pPr>
      <w:r w:rsidRPr="00C7215B">
        <w:rPr>
          <w:rFonts w:eastAsia="Times New Roman"/>
          <w:color w:val="auto"/>
          <w:sz w:val="24"/>
          <w:szCs w:val="22"/>
        </w:rPr>
        <w:t>Feldmann M, Maini SR. Role of cytokines in rheumatoid arthritis: an education in pathophysiology and therapeutics. Immunol Rev. 2008;223(1):7-19.</w:t>
      </w:r>
      <w:r w:rsidR="00641241">
        <w:t xml:space="preserve"> </w:t>
      </w:r>
      <w:r w:rsidR="00DA4386" w:rsidRPr="00F332EB">
        <w:rPr>
          <w:rFonts w:cstheme="majorBidi"/>
          <w:color w:val="4472C4" w:themeColor="accent1"/>
          <w:sz w:val="24"/>
          <w:u w:val="single"/>
        </w:rPr>
        <w:t>https://doi.org/</w:t>
      </w:r>
      <w:r w:rsidR="001E57FA" w:rsidRPr="001E57FA">
        <w:rPr>
          <w:rFonts w:eastAsia="Times New Roman"/>
          <w:color w:val="227ACB"/>
          <w:sz w:val="24"/>
          <w:szCs w:val="22"/>
          <w:u w:val="single"/>
        </w:rPr>
        <w:t>10.1111/j.1600-065X.2008.00626.x</w:t>
      </w:r>
    </w:p>
    <w:p w14:paraId="64182162" w14:textId="0D26B8B4"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Crow JM. New medicines could help halt autoimmune disorder—Renewed therapeutic promise for arthritics. 2007;29:</w:t>
      </w:r>
      <w:r w:rsidR="00D03FD0">
        <w:rPr>
          <w:rFonts w:eastAsia="Times New Roman"/>
          <w:color w:val="auto"/>
          <w:sz w:val="24"/>
          <w:szCs w:val="22"/>
        </w:rPr>
        <w:t xml:space="preserve"> </w:t>
      </w:r>
      <w:r w:rsidRPr="00C7215B">
        <w:rPr>
          <w:rFonts w:eastAsia="Times New Roman"/>
          <w:color w:val="auto"/>
          <w:sz w:val="24"/>
          <w:szCs w:val="22"/>
        </w:rPr>
        <w:t>29.</w:t>
      </w:r>
    </w:p>
    <w:p w14:paraId="0CC58F10" w14:textId="12AA62BC"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 xml:space="preserve">Guo X, Wang S, </w:t>
      </w:r>
      <w:proofErr w:type="spellStart"/>
      <w:r w:rsidRPr="00C7215B">
        <w:rPr>
          <w:rFonts w:eastAsia="Times New Roman"/>
          <w:color w:val="auto"/>
          <w:sz w:val="24"/>
          <w:szCs w:val="22"/>
        </w:rPr>
        <w:t>Godwood</w:t>
      </w:r>
      <w:proofErr w:type="spellEnd"/>
      <w:r w:rsidRPr="00C7215B">
        <w:rPr>
          <w:rFonts w:eastAsia="Times New Roman"/>
          <w:color w:val="auto"/>
          <w:sz w:val="24"/>
          <w:szCs w:val="22"/>
        </w:rPr>
        <w:t xml:space="preserve"> A, Close D, Ryan PC, Roskos LK, et al. Pharmacodynamic biomarkers and differential effects of TNF‐ and GM‐CSF‐targeting biologics in rheumatoid arthritis. Int J Rheum Dis. 2019;22(4):646-53.</w:t>
      </w:r>
      <w:r w:rsidR="00641241" w:rsidRPr="00641241">
        <w:t xml:space="preserve"> </w:t>
      </w:r>
      <w:r w:rsidR="00DA4386" w:rsidRPr="00F332EB">
        <w:rPr>
          <w:rFonts w:cstheme="majorBidi"/>
          <w:color w:val="4472C4" w:themeColor="accent1"/>
          <w:sz w:val="24"/>
          <w:u w:val="single"/>
        </w:rPr>
        <w:t>https://doi.org/</w:t>
      </w:r>
      <w:r w:rsidR="00641241" w:rsidRPr="00641241">
        <w:rPr>
          <w:rFonts w:eastAsia="Times New Roman"/>
          <w:color w:val="227ACB"/>
          <w:sz w:val="24"/>
          <w:szCs w:val="22"/>
          <w:u w:val="single"/>
        </w:rPr>
        <w:t>10.1111/1756-185X.13395</w:t>
      </w:r>
    </w:p>
    <w:p w14:paraId="120DFFDA" w14:textId="31DF9623"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 xml:space="preserve">Nishimura K, Sugiyama D, </w:t>
      </w:r>
      <w:proofErr w:type="spellStart"/>
      <w:r w:rsidRPr="00C7215B">
        <w:rPr>
          <w:rFonts w:eastAsia="Times New Roman"/>
          <w:color w:val="auto"/>
          <w:sz w:val="24"/>
          <w:szCs w:val="22"/>
        </w:rPr>
        <w:t>Kogata</w:t>
      </w:r>
      <w:proofErr w:type="spellEnd"/>
      <w:r w:rsidRPr="00C7215B">
        <w:rPr>
          <w:rFonts w:eastAsia="Times New Roman"/>
          <w:color w:val="auto"/>
          <w:sz w:val="24"/>
          <w:szCs w:val="22"/>
        </w:rPr>
        <w:t xml:space="preserve"> Y, Tsuji G, Nakazawa T, Kawano S, et al. Meta-analysis: diagnostic accuracy of anti–cyclic citrullinated peptide antibody and rheumatoid factor for rheumatoid arthritis. Ann Intern Med. 2007;146(11):797-808.</w:t>
      </w:r>
      <w:r w:rsidR="00641241" w:rsidRPr="00641241">
        <w:t xml:space="preserve"> </w:t>
      </w:r>
      <w:r w:rsidR="00DA4386" w:rsidRPr="00F332EB">
        <w:rPr>
          <w:rFonts w:cstheme="majorBidi"/>
          <w:color w:val="4472C4" w:themeColor="accent1"/>
          <w:sz w:val="24"/>
          <w:u w:val="single"/>
        </w:rPr>
        <w:t>https://doi.org/</w:t>
      </w:r>
      <w:r w:rsidR="00641241" w:rsidRPr="00641241">
        <w:rPr>
          <w:rFonts w:eastAsia="Times New Roman"/>
          <w:color w:val="227ACB"/>
          <w:sz w:val="24"/>
          <w:szCs w:val="22"/>
          <w:u w:val="single"/>
        </w:rPr>
        <w:t>10.7326/0003-4819-146-11-200706050-00008</w:t>
      </w:r>
    </w:p>
    <w:p w14:paraId="3E1D1A06" w14:textId="0544FF6D" w:rsidR="00C7215B" w:rsidRPr="00641241" w:rsidRDefault="00C7215B" w:rsidP="00520293">
      <w:pPr>
        <w:numPr>
          <w:ilvl w:val="0"/>
          <w:numId w:val="3"/>
        </w:numPr>
        <w:spacing w:after="0" w:line="240" w:lineRule="auto"/>
        <w:jc w:val="both"/>
        <w:rPr>
          <w:rFonts w:eastAsia="Times New Roman"/>
          <w:color w:val="227ACB"/>
          <w:sz w:val="24"/>
          <w:szCs w:val="22"/>
          <w:u w:val="single"/>
        </w:rPr>
      </w:pPr>
      <w:r w:rsidRPr="00C7215B">
        <w:rPr>
          <w:rFonts w:eastAsia="Times New Roman"/>
          <w:color w:val="auto"/>
          <w:sz w:val="24"/>
          <w:szCs w:val="22"/>
          <w:lang w:val="sv-SE"/>
        </w:rPr>
        <w:t xml:space="preserve">van der Helm‐van Mil AH, Verpoort KN, Breedveld FC, Huizinga TW, Toes RE, de Vries RR. </w:t>
      </w:r>
      <w:r w:rsidRPr="00C7215B">
        <w:rPr>
          <w:rFonts w:eastAsia="Times New Roman"/>
          <w:color w:val="auto"/>
          <w:sz w:val="24"/>
          <w:szCs w:val="22"/>
        </w:rPr>
        <w:t>The HLA–DRB1 shared epitope alleles are primarily a risk factor for anti–cyclic citrullinated peptide antibodies and are not an independent risk factor for the development of rheumatoid arthritis. Arthritis Rheum. 2006;54(4):1117-21.</w:t>
      </w:r>
      <w:r w:rsidR="00641241" w:rsidRPr="00641241">
        <w:t xml:space="preserve"> </w:t>
      </w:r>
      <w:r w:rsidR="00DA4386" w:rsidRPr="00F332EB">
        <w:rPr>
          <w:rFonts w:cstheme="majorBidi"/>
          <w:color w:val="4472C4" w:themeColor="accent1"/>
          <w:sz w:val="24"/>
          <w:u w:val="single"/>
        </w:rPr>
        <w:t>https://doi.org/</w:t>
      </w:r>
      <w:r w:rsidR="00641241" w:rsidRPr="00641241">
        <w:rPr>
          <w:rFonts w:eastAsia="Times New Roman"/>
          <w:color w:val="227ACB"/>
          <w:sz w:val="24"/>
          <w:szCs w:val="22"/>
          <w:u w:val="single"/>
        </w:rPr>
        <w:t>10.1002/art.21739</w:t>
      </w:r>
    </w:p>
    <w:p w14:paraId="7D7C2B1F" w14:textId="7BD6EC42"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lang w:val="sv-SE"/>
        </w:rPr>
        <w:t xml:space="preserve">Nielen MM, van Schaardenburg D, Reesink HW, Van de Stadt RJ, van der Horst‐Bruinsma IE, de Koning MH, et al. </w:t>
      </w:r>
      <w:r w:rsidRPr="00C7215B">
        <w:rPr>
          <w:rFonts w:eastAsia="Times New Roman"/>
          <w:color w:val="auto"/>
          <w:sz w:val="24"/>
          <w:szCs w:val="22"/>
        </w:rPr>
        <w:t>Specific autoantibodies precede the symptoms of rheumatoid arthritis: a study of serial measurements in blood donors. Arthritis Rheum. 2004;50(2):380-6.</w:t>
      </w:r>
      <w:r w:rsidR="00641241" w:rsidRPr="00641241">
        <w:t xml:space="preserve"> </w:t>
      </w:r>
      <w:r w:rsidR="00DA4386" w:rsidRPr="00F332EB">
        <w:rPr>
          <w:rFonts w:cstheme="majorBidi"/>
          <w:color w:val="4472C4" w:themeColor="accent1"/>
          <w:sz w:val="24"/>
          <w:u w:val="single"/>
        </w:rPr>
        <w:t>https://doi.org/</w:t>
      </w:r>
      <w:r w:rsidR="00641241" w:rsidRPr="00641241">
        <w:rPr>
          <w:rFonts w:eastAsia="Times New Roman"/>
          <w:color w:val="227ACB"/>
          <w:sz w:val="24"/>
          <w:szCs w:val="22"/>
          <w:u w:val="single"/>
        </w:rPr>
        <w:t>10.1002/art.20018</w:t>
      </w:r>
    </w:p>
    <w:p w14:paraId="1F8F4763" w14:textId="62DFB374" w:rsidR="00C7215B" w:rsidRPr="00C7215B" w:rsidRDefault="00C7215B" w:rsidP="00520293">
      <w:pPr>
        <w:numPr>
          <w:ilvl w:val="0"/>
          <w:numId w:val="3"/>
        </w:numPr>
        <w:spacing w:after="0" w:line="240" w:lineRule="auto"/>
        <w:jc w:val="both"/>
        <w:rPr>
          <w:rFonts w:eastAsia="Times New Roman"/>
          <w:color w:val="auto"/>
          <w:sz w:val="24"/>
          <w:szCs w:val="22"/>
        </w:rPr>
      </w:pPr>
      <w:proofErr w:type="spellStart"/>
      <w:r w:rsidRPr="00C7215B">
        <w:rPr>
          <w:rFonts w:eastAsia="Times New Roman"/>
          <w:color w:val="auto"/>
          <w:sz w:val="24"/>
          <w:szCs w:val="22"/>
        </w:rPr>
        <w:t>Bhagavatham</w:t>
      </w:r>
      <w:proofErr w:type="spellEnd"/>
      <w:r w:rsidRPr="00C7215B">
        <w:rPr>
          <w:rFonts w:eastAsia="Times New Roman"/>
          <w:color w:val="auto"/>
          <w:sz w:val="24"/>
          <w:szCs w:val="22"/>
        </w:rPr>
        <w:t xml:space="preserve"> SK, </w:t>
      </w:r>
      <w:proofErr w:type="spellStart"/>
      <w:r w:rsidRPr="00C7215B">
        <w:rPr>
          <w:rFonts w:eastAsia="Times New Roman"/>
          <w:color w:val="auto"/>
          <w:sz w:val="24"/>
          <w:szCs w:val="22"/>
        </w:rPr>
        <w:t>Potikuri</w:t>
      </w:r>
      <w:proofErr w:type="spellEnd"/>
      <w:r w:rsidRPr="00C7215B">
        <w:rPr>
          <w:rFonts w:eastAsia="Times New Roman"/>
          <w:color w:val="auto"/>
          <w:sz w:val="24"/>
          <w:szCs w:val="22"/>
        </w:rPr>
        <w:t xml:space="preserve"> D, Sivaramakrishnan V. Adenosine deaminase and cytokines associated with infectious diseases as risk factors for inflammatory arthritis and methotrexate as a potential prophylactic agent. Med Hypotheses. 2022;159:</w:t>
      </w:r>
      <w:r w:rsidR="00D03FD0">
        <w:rPr>
          <w:rFonts w:eastAsia="Times New Roman"/>
          <w:color w:val="auto"/>
          <w:sz w:val="24"/>
          <w:szCs w:val="22"/>
        </w:rPr>
        <w:t xml:space="preserve"> </w:t>
      </w:r>
      <w:r w:rsidRPr="00C7215B">
        <w:rPr>
          <w:rFonts w:eastAsia="Times New Roman"/>
          <w:color w:val="auto"/>
          <w:sz w:val="24"/>
          <w:szCs w:val="22"/>
        </w:rPr>
        <w:t>110751.</w:t>
      </w:r>
      <w:r w:rsidR="00641241" w:rsidRPr="00641241">
        <w:t xml:space="preserve"> </w:t>
      </w:r>
      <w:r w:rsidR="00DA4386" w:rsidRPr="00F332EB">
        <w:rPr>
          <w:rFonts w:cstheme="majorBidi"/>
          <w:color w:val="4472C4" w:themeColor="accent1"/>
          <w:sz w:val="24"/>
          <w:u w:val="single"/>
        </w:rPr>
        <w:t>https://doi.org/</w:t>
      </w:r>
      <w:r w:rsidR="00641241" w:rsidRPr="00641241">
        <w:rPr>
          <w:rFonts w:eastAsia="Times New Roman"/>
          <w:color w:val="227ACB"/>
          <w:sz w:val="24"/>
          <w:szCs w:val="22"/>
          <w:u w:val="single"/>
        </w:rPr>
        <w:t>10.1016/j.mehy.2021.110751</w:t>
      </w:r>
    </w:p>
    <w:p w14:paraId="56B27602" w14:textId="77777777"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 xml:space="preserve">Zakeri Z, Izadi S, Niazi A, Bari Z, </w:t>
      </w:r>
      <w:proofErr w:type="spellStart"/>
      <w:r w:rsidRPr="00C7215B">
        <w:rPr>
          <w:rFonts w:eastAsia="Times New Roman"/>
          <w:color w:val="auto"/>
          <w:sz w:val="24"/>
          <w:szCs w:val="22"/>
        </w:rPr>
        <w:t>Zendeboodi</w:t>
      </w:r>
      <w:proofErr w:type="spellEnd"/>
      <w:r w:rsidRPr="00C7215B">
        <w:rPr>
          <w:rFonts w:eastAsia="Times New Roman"/>
          <w:color w:val="auto"/>
          <w:sz w:val="24"/>
          <w:szCs w:val="22"/>
        </w:rPr>
        <w:t xml:space="preserve"> S, </w:t>
      </w:r>
      <w:proofErr w:type="spellStart"/>
      <w:r w:rsidRPr="00C7215B">
        <w:rPr>
          <w:rFonts w:eastAsia="Times New Roman"/>
          <w:color w:val="auto"/>
          <w:sz w:val="24"/>
          <w:szCs w:val="22"/>
        </w:rPr>
        <w:t>Shakiba</w:t>
      </w:r>
      <w:proofErr w:type="spellEnd"/>
      <w:r w:rsidRPr="00C7215B">
        <w:rPr>
          <w:rFonts w:eastAsia="Times New Roman"/>
          <w:color w:val="auto"/>
          <w:sz w:val="24"/>
          <w:szCs w:val="22"/>
        </w:rPr>
        <w:t xml:space="preserve"> M, et al. Comparison of adenosine deaminase levels in serum and synovial fluid between patients with rheumatoid arthritis and osteoarthritis. Int J Clin Exp Med. 2012;5(2):195.</w:t>
      </w:r>
    </w:p>
    <w:p w14:paraId="17660ACA" w14:textId="69451250" w:rsidR="00C7215B" w:rsidRPr="00C7215B" w:rsidRDefault="00C7215B" w:rsidP="00520293">
      <w:pPr>
        <w:numPr>
          <w:ilvl w:val="0"/>
          <w:numId w:val="3"/>
        </w:numPr>
        <w:spacing w:after="0" w:line="240" w:lineRule="auto"/>
        <w:jc w:val="both"/>
        <w:rPr>
          <w:rFonts w:eastAsia="Times New Roman"/>
          <w:color w:val="auto"/>
          <w:sz w:val="24"/>
          <w:szCs w:val="22"/>
        </w:rPr>
      </w:pPr>
      <w:r w:rsidRPr="00C7215B">
        <w:rPr>
          <w:rFonts w:eastAsia="Times New Roman"/>
          <w:color w:val="auto"/>
          <w:sz w:val="24"/>
          <w:szCs w:val="22"/>
        </w:rPr>
        <w:t xml:space="preserve">Atta A, Salem MM, El-Said KS, Mohamed TM. Mechanistic role of quercetin as an inhibitor for adenosine deaminase enzyme in rheumatoid arthritis: systematic review. Cell </w:t>
      </w:r>
      <w:proofErr w:type="spellStart"/>
      <w:r w:rsidRPr="00C7215B">
        <w:rPr>
          <w:rFonts w:eastAsia="Times New Roman"/>
          <w:color w:val="auto"/>
          <w:sz w:val="24"/>
          <w:szCs w:val="22"/>
        </w:rPr>
        <w:t>Mol</w:t>
      </w:r>
      <w:proofErr w:type="spellEnd"/>
      <w:r w:rsidRPr="00C7215B">
        <w:rPr>
          <w:rFonts w:eastAsia="Times New Roman"/>
          <w:color w:val="auto"/>
          <w:sz w:val="24"/>
          <w:szCs w:val="22"/>
        </w:rPr>
        <w:t xml:space="preserve"> </w:t>
      </w:r>
      <w:proofErr w:type="spellStart"/>
      <w:r w:rsidRPr="00C7215B">
        <w:rPr>
          <w:rFonts w:eastAsia="Times New Roman"/>
          <w:color w:val="auto"/>
          <w:sz w:val="24"/>
          <w:szCs w:val="22"/>
        </w:rPr>
        <w:t>Biol</w:t>
      </w:r>
      <w:proofErr w:type="spellEnd"/>
      <w:r w:rsidRPr="00C7215B">
        <w:rPr>
          <w:rFonts w:eastAsia="Times New Roman"/>
          <w:color w:val="auto"/>
          <w:sz w:val="24"/>
          <w:szCs w:val="22"/>
        </w:rPr>
        <w:t xml:space="preserve"> Lett. 2024;29(1):14</w:t>
      </w:r>
      <w:r w:rsidR="00DA4386" w:rsidRPr="00DA4386">
        <w:rPr>
          <w:rFonts w:cstheme="majorBidi"/>
          <w:color w:val="4472C4" w:themeColor="accent1"/>
          <w:sz w:val="24"/>
          <w:u w:val="single"/>
        </w:rPr>
        <w:t xml:space="preserve"> </w:t>
      </w:r>
      <w:r w:rsidR="00DA4386" w:rsidRPr="00F332EB">
        <w:rPr>
          <w:rFonts w:cstheme="majorBidi"/>
          <w:color w:val="4472C4" w:themeColor="accent1"/>
          <w:sz w:val="24"/>
          <w:u w:val="single"/>
        </w:rPr>
        <w:t>https://doi.org/</w:t>
      </w:r>
      <w:r w:rsidR="00641241" w:rsidRPr="00641241">
        <w:rPr>
          <w:rFonts w:eastAsia="Times New Roman"/>
          <w:color w:val="227ACB"/>
          <w:sz w:val="24"/>
          <w:szCs w:val="22"/>
          <w:u w:val="single"/>
        </w:rPr>
        <w:t>10.1186/s11658-024-00531-7</w:t>
      </w:r>
    </w:p>
    <w:p w14:paraId="40B8959D" w14:textId="0944279D" w:rsidR="00C7215B" w:rsidRDefault="00C7215B" w:rsidP="00520293">
      <w:pPr>
        <w:numPr>
          <w:ilvl w:val="0"/>
          <w:numId w:val="4"/>
        </w:numPr>
        <w:spacing w:after="0" w:line="240" w:lineRule="auto"/>
        <w:jc w:val="both"/>
        <w:rPr>
          <w:rFonts w:eastAsia="Times New Roman"/>
          <w:color w:val="227ACB"/>
          <w:sz w:val="24"/>
          <w:szCs w:val="22"/>
          <w:u w:val="single"/>
        </w:rPr>
      </w:pPr>
      <w:proofErr w:type="spellStart"/>
      <w:r w:rsidRPr="00C7215B">
        <w:rPr>
          <w:rFonts w:eastAsia="Times New Roman"/>
          <w:color w:val="auto"/>
          <w:sz w:val="24"/>
          <w:szCs w:val="22"/>
        </w:rPr>
        <w:t>Weyand</w:t>
      </w:r>
      <w:proofErr w:type="spellEnd"/>
      <w:r w:rsidRPr="00C7215B">
        <w:rPr>
          <w:rFonts w:eastAsia="Times New Roman"/>
          <w:color w:val="auto"/>
          <w:sz w:val="24"/>
          <w:szCs w:val="22"/>
        </w:rPr>
        <w:t xml:space="preserve"> CM, </w:t>
      </w:r>
      <w:proofErr w:type="spellStart"/>
      <w:r w:rsidRPr="00C7215B">
        <w:rPr>
          <w:rFonts w:eastAsia="Times New Roman"/>
          <w:color w:val="auto"/>
          <w:sz w:val="24"/>
          <w:szCs w:val="22"/>
        </w:rPr>
        <w:t>Goronzy</w:t>
      </w:r>
      <w:proofErr w:type="spellEnd"/>
      <w:r w:rsidRPr="00C7215B">
        <w:rPr>
          <w:rFonts w:eastAsia="Times New Roman"/>
          <w:color w:val="auto"/>
          <w:sz w:val="24"/>
          <w:szCs w:val="22"/>
        </w:rPr>
        <w:t xml:space="preserve"> JJ. Metabolic checkpoints in rheumatoid arthritis. In: Seminars in Arthritis and Rheumatism. Vol. 70. Philadelphia: WB Saunders; 2025. p.152586.</w:t>
      </w:r>
      <w:r w:rsidR="00641241" w:rsidRPr="00641241">
        <w:t xml:space="preserve"> </w:t>
      </w:r>
      <w:r w:rsidR="00641241" w:rsidRPr="00641241">
        <w:rPr>
          <w:rFonts w:eastAsia="Times New Roman"/>
          <w:color w:val="auto"/>
          <w:sz w:val="24"/>
          <w:szCs w:val="22"/>
        </w:rPr>
        <w:t xml:space="preserve">22. </w:t>
      </w:r>
      <w:hyperlink r:id="rId15" w:history="1">
        <w:r w:rsidR="003F2732" w:rsidRPr="0030290E">
          <w:rPr>
            <w:rStyle w:val="Hyperlink"/>
            <w:rFonts w:cstheme="majorBidi"/>
            <w:sz w:val="24"/>
          </w:rPr>
          <w:t>https://doi.org/</w:t>
        </w:r>
        <w:r w:rsidR="003F2732" w:rsidRPr="0030290E">
          <w:rPr>
            <w:rStyle w:val="Hyperlink"/>
            <w:rFonts w:eastAsia="Times New Roman"/>
            <w:sz w:val="24"/>
            <w:szCs w:val="22"/>
          </w:rPr>
          <w:t>10.1016/j.semarthrit.2024.152586</w:t>
        </w:r>
      </w:hyperlink>
    </w:p>
    <w:p w14:paraId="1AEC332E" w14:textId="77777777" w:rsidR="003F2732" w:rsidRPr="00641241" w:rsidRDefault="003F2732" w:rsidP="003F2732">
      <w:pPr>
        <w:spacing w:after="0" w:line="240" w:lineRule="auto"/>
        <w:jc w:val="both"/>
        <w:rPr>
          <w:rFonts w:eastAsia="Times New Roman"/>
          <w:color w:val="227ACB"/>
          <w:sz w:val="24"/>
          <w:szCs w:val="22"/>
          <w:u w:val="single"/>
        </w:rPr>
      </w:pPr>
    </w:p>
    <w:p w14:paraId="045084A7" w14:textId="0039ABA8" w:rsidR="00C7215B" w:rsidRPr="00C7215B" w:rsidRDefault="00C7215B" w:rsidP="00520293">
      <w:pPr>
        <w:numPr>
          <w:ilvl w:val="0"/>
          <w:numId w:val="4"/>
        </w:numPr>
        <w:spacing w:after="0" w:line="240" w:lineRule="auto"/>
        <w:jc w:val="both"/>
        <w:rPr>
          <w:rFonts w:eastAsia="Times New Roman"/>
          <w:color w:val="auto"/>
          <w:sz w:val="24"/>
          <w:szCs w:val="22"/>
        </w:rPr>
      </w:pPr>
      <w:proofErr w:type="spellStart"/>
      <w:r w:rsidRPr="00C7215B">
        <w:rPr>
          <w:rFonts w:eastAsia="Times New Roman"/>
          <w:color w:val="auto"/>
          <w:sz w:val="24"/>
          <w:szCs w:val="22"/>
        </w:rPr>
        <w:t>Alamanos</w:t>
      </w:r>
      <w:proofErr w:type="spellEnd"/>
      <w:r w:rsidRPr="00C7215B">
        <w:rPr>
          <w:rFonts w:eastAsia="Times New Roman"/>
          <w:color w:val="auto"/>
          <w:sz w:val="24"/>
          <w:szCs w:val="22"/>
        </w:rPr>
        <w:t xml:space="preserve"> Y, </w:t>
      </w:r>
      <w:proofErr w:type="spellStart"/>
      <w:r w:rsidRPr="00C7215B">
        <w:rPr>
          <w:rFonts w:eastAsia="Times New Roman"/>
          <w:color w:val="auto"/>
          <w:sz w:val="24"/>
          <w:szCs w:val="22"/>
        </w:rPr>
        <w:t>Voulgari</w:t>
      </w:r>
      <w:proofErr w:type="spellEnd"/>
      <w:r w:rsidRPr="00C7215B">
        <w:rPr>
          <w:rFonts w:eastAsia="Times New Roman"/>
          <w:color w:val="auto"/>
          <w:sz w:val="24"/>
          <w:szCs w:val="22"/>
        </w:rPr>
        <w:t xml:space="preserve"> PV, Drosos AA. Incidence and prevalence of rheumatoid arthritis, based on the 1987 American College of Rheumatology criteria: a systematic review. In: Seminars in Arthritis and Rheumatism. Vol. 36, No. 3. Philadelphia: WB Saunders; 2006. p.182–8.</w:t>
      </w:r>
      <w:r w:rsidR="00641241" w:rsidRPr="00641241">
        <w:rPr>
          <w:rFonts w:cstheme="majorBidi"/>
          <w:color w:val="auto"/>
          <w:sz w:val="24"/>
          <w:u w:val="single"/>
        </w:rPr>
        <w:t xml:space="preserve"> </w:t>
      </w:r>
      <w:r w:rsidR="00DA4386" w:rsidRPr="00F332EB">
        <w:rPr>
          <w:rFonts w:cstheme="majorBidi"/>
          <w:color w:val="4472C4" w:themeColor="accent1"/>
          <w:sz w:val="24"/>
          <w:u w:val="single"/>
        </w:rPr>
        <w:t>https://doi.org/</w:t>
      </w:r>
      <w:r w:rsidR="00641241" w:rsidRPr="00641241">
        <w:rPr>
          <w:rFonts w:eastAsia="Times New Roman"/>
          <w:color w:val="227ACB"/>
          <w:sz w:val="24"/>
          <w:szCs w:val="22"/>
          <w:u w:val="single"/>
        </w:rPr>
        <w:t>10.1016/j.semarthrit.2006.08.006</w:t>
      </w:r>
    </w:p>
    <w:p w14:paraId="1FFD9B44" w14:textId="77777777" w:rsidR="00C7215B" w:rsidRPr="00C7215B" w:rsidRDefault="00C7215B" w:rsidP="00520293">
      <w:pPr>
        <w:numPr>
          <w:ilvl w:val="0"/>
          <w:numId w:val="5"/>
        </w:numPr>
        <w:spacing w:after="0" w:line="240" w:lineRule="auto"/>
        <w:jc w:val="both"/>
        <w:rPr>
          <w:rFonts w:eastAsia="Times New Roman"/>
          <w:color w:val="auto"/>
          <w:sz w:val="24"/>
          <w:szCs w:val="22"/>
        </w:rPr>
      </w:pPr>
      <w:r w:rsidRPr="00C7215B">
        <w:rPr>
          <w:rFonts w:eastAsia="Times New Roman"/>
          <w:color w:val="auto"/>
          <w:sz w:val="24"/>
          <w:szCs w:val="22"/>
        </w:rPr>
        <w:t xml:space="preserve">BT Laboratory. Human </w:t>
      </w:r>
      <w:proofErr w:type="spellStart"/>
      <w:r w:rsidRPr="00C7215B">
        <w:rPr>
          <w:rFonts w:eastAsia="Times New Roman"/>
          <w:color w:val="auto"/>
          <w:sz w:val="24"/>
          <w:szCs w:val="22"/>
        </w:rPr>
        <w:t>Tumor</w:t>
      </w:r>
      <w:proofErr w:type="spellEnd"/>
      <w:r w:rsidRPr="00C7215B">
        <w:rPr>
          <w:rFonts w:eastAsia="Times New Roman"/>
          <w:color w:val="auto"/>
          <w:sz w:val="24"/>
          <w:szCs w:val="22"/>
        </w:rPr>
        <w:t xml:space="preserve"> Necrosis Factor Beta (TNFB) ELISA Kit—</w:t>
      </w:r>
      <w:proofErr w:type="spellStart"/>
      <w:r w:rsidRPr="00C7215B">
        <w:rPr>
          <w:rFonts w:eastAsia="Times New Roman"/>
          <w:color w:val="auto"/>
          <w:sz w:val="24"/>
          <w:szCs w:val="22"/>
        </w:rPr>
        <w:t>Catalog</w:t>
      </w:r>
      <w:proofErr w:type="spellEnd"/>
      <w:r w:rsidRPr="00C7215B">
        <w:rPr>
          <w:rFonts w:eastAsia="Times New Roman"/>
          <w:color w:val="auto"/>
          <w:sz w:val="24"/>
          <w:szCs w:val="22"/>
        </w:rPr>
        <w:t xml:space="preserve"> No. E0081Hu [Product manual]. Jiaxing (China): BT Laboratory; 2021. Available from: </w:t>
      </w:r>
      <w:hyperlink r:id="rId16" w:tgtFrame="_new" w:history="1">
        <w:r w:rsidRPr="00991538">
          <w:rPr>
            <w:rFonts w:eastAsia="Times New Roman"/>
            <w:color w:val="227ACB"/>
            <w:sz w:val="24"/>
            <w:szCs w:val="22"/>
            <w:u w:val="single"/>
          </w:rPr>
          <w:t>http://www.bt-laboratory.com</w:t>
        </w:r>
      </w:hyperlink>
      <w:r w:rsidRPr="00991538">
        <w:rPr>
          <w:color w:val="227ACB"/>
          <w:sz w:val="24"/>
          <w:szCs w:val="22"/>
        </w:rPr>
        <w:t>.</w:t>
      </w:r>
    </w:p>
    <w:p w14:paraId="49266149" w14:textId="77777777" w:rsidR="00C7215B" w:rsidRDefault="00C7215B" w:rsidP="00520293">
      <w:pPr>
        <w:pStyle w:val="NoSpacing"/>
        <w:spacing w:after="0"/>
        <w:rPr>
          <w:b/>
          <w:bCs/>
          <w:color w:val="auto"/>
          <w:sz w:val="22"/>
          <w:szCs w:val="22"/>
        </w:rPr>
      </w:pPr>
    </w:p>
    <w:p w14:paraId="2C61C745" w14:textId="77777777" w:rsidR="00862757" w:rsidRPr="00862757" w:rsidRDefault="00862757" w:rsidP="00862757"/>
    <w:p w14:paraId="63193FB9" w14:textId="77777777" w:rsidR="00862757" w:rsidRPr="00862757" w:rsidRDefault="00862757" w:rsidP="00862757"/>
    <w:p w14:paraId="733E0D28" w14:textId="77777777" w:rsidR="00862757" w:rsidRDefault="00862757" w:rsidP="00862757">
      <w:pPr>
        <w:rPr>
          <w:b/>
          <w:bCs/>
          <w:color w:val="auto"/>
          <w:spacing w:val="30"/>
          <w:sz w:val="22"/>
          <w:szCs w:val="22"/>
        </w:rPr>
      </w:pPr>
    </w:p>
    <w:p w14:paraId="3EFAF127" w14:textId="3C0241EE" w:rsidR="00862757" w:rsidRPr="00862757" w:rsidRDefault="00862757" w:rsidP="00862757">
      <w:pPr>
        <w:tabs>
          <w:tab w:val="left" w:pos="5503"/>
        </w:tabs>
        <w:rPr>
          <w:rtl/>
        </w:rPr>
      </w:pPr>
      <w:r>
        <w:tab/>
      </w:r>
    </w:p>
    <w:sectPr w:rsidR="00862757" w:rsidRPr="00862757" w:rsidSect="003D7383">
      <w:headerReference w:type="default" r:id="rId17"/>
      <w:footerReference w:type="default" r:id="rId18"/>
      <w:pgSz w:w="11906" w:h="16838"/>
      <w:pgMar w:top="1440" w:right="1440" w:bottom="1440" w:left="1440" w:header="708" w:footer="708" w:gutter="0"/>
      <w:pgNumType w:start="3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940B0" w14:textId="77777777" w:rsidR="00BC71DB" w:rsidRDefault="00BC71DB" w:rsidP="00D05CD7">
      <w:pPr>
        <w:spacing w:after="0" w:line="240" w:lineRule="auto"/>
      </w:pPr>
      <w:r>
        <w:separator/>
      </w:r>
    </w:p>
  </w:endnote>
  <w:endnote w:type="continuationSeparator" w:id="0">
    <w:p w14:paraId="5CC0536B" w14:textId="77777777" w:rsidR="00BC71DB" w:rsidRDefault="00BC71DB" w:rsidP="00D0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Jenso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NexusSans-Italic">
    <w:altName w:val="Calibri"/>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DC93F" w14:textId="054792A3" w:rsidR="00641CC8" w:rsidRPr="00F14948" w:rsidRDefault="0063710A" w:rsidP="00AD5744">
    <w:pPr>
      <w:pStyle w:val="Footer"/>
      <w:tabs>
        <w:tab w:val="clear" w:pos="4513"/>
        <w:tab w:val="clear" w:pos="9026"/>
        <w:tab w:val="left" w:pos="6130"/>
      </w:tabs>
      <w:jc w:val="center"/>
      <w:rPr>
        <w:sz w:val="22"/>
        <w:szCs w:val="22"/>
      </w:rPr>
    </w:pPr>
    <w:r>
      <w:rPr>
        <w:noProof/>
        <w:lang w:eastAsia="en-GB"/>
      </w:rPr>
      <mc:AlternateContent>
        <mc:Choice Requires="wps">
          <w:drawing>
            <wp:anchor distT="0" distB="0" distL="114300" distR="114300" simplePos="0" relativeHeight="251678720" behindDoc="0" locked="0" layoutInCell="1" allowOverlap="1" wp14:anchorId="5AE52E8B" wp14:editId="76757413">
              <wp:simplePos x="0" y="0"/>
              <wp:positionH relativeFrom="column">
                <wp:posOffset>-726773</wp:posOffset>
              </wp:positionH>
              <wp:positionV relativeFrom="paragraph">
                <wp:posOffset>-24979</wp:posOffset>
              </wp:positionV>
              <wp:extent cx="3268709" cy="539126"/>
              <wp:effectExtent l="0" t="0" r="8255" b="0"/>
              <wp:wrapNone/>
              <wp:docPr id="1988496823" name="Text Box 6"/>
              <wp:cNvGraphicFramePr/>
              <a:graphic xmlns:a="http://schemas.openxmlformats.org/drawingml/2006/main">
                <a:graphicData uri="http://schemas.microsoft.com/office/word/2010/wordprocessingShape">
                  <wps:wsp>
                    <wps:cNvSpPr txBox="1"/>
                    <wps:spPr>
                      <a:xfrm>
                        <a:off x="0" y="0"/>
                        <a:ext cx="3268709" cy="539126"/>
                      </a:xfrm>
                      <a:prstGeom prst="rect">
                        <a:avLst/>
                      </a:prstGeom>
                      <a:solidFill>
                        <a:schemeClr val="lt1"/>
                      </a:solidFill>
                      <a:ln w="6350">
                        <a:noFill/>
                      </a:ln>
                    </wps:spPr>
                    <wps:txbx>
                      <w:txbxContent>
                        <w:p w14:paraId="19D3EB97" w14:textId="77777777" w:rsidR="00AD5744" w:rsidRPr="00231AF0" w:rsidRDefault="00AD5744" w:rsidP="00AD5744">
                          <w:pPr>
                            <w:pStyle w:val="Articalhistory"/>
                            <w:rPr>
                              <w:b/>
                              <w:bCs/>
                              <w:sz w:val="20"/>
                              <w:szCs w:val="20"/>
                            </w:rPr>
                          </w:pPr>
                          <w:r w:rsidRPr="00231AF0">
                            <w:rPr>
                              <w:b/>
                              <w:bCs/>
                              <w:color w:val="538135" w:themeColor="accent6" w:themeShade="BF"/>
                              <w:sz w:val="16"/>
                              <w:szCs w:val="16"/>
                              <w:lang w:bidi="ar-SA"/>
                              <w14:textFill>
                                <w14:solidFill>
                                  <w14:schemeClr w14:val="accent6">
                                    <w14:lumMod w14:val="75000"/>
                                    <w14:lumMod w14:val="75000"/>
                                  </w14:schemeClr>
                                </w14:solidFill>
                              </w14:textFill>
                            </w:rPr>
                            <w:t>© THIS IS AN OPEN ACCESS ARTICLE UNDER THE CC BY LICENSE.</w:t>
                          </w:r>
                          <w:r w:rsidRPr="00231AF0">
                            <w:rPr>
                              <w:b/>
                              <w:bCs/>
                              <w:color w:val="538135" w:themeColor="accent6" w:themeShade="BF"/>
                              <w:sz w:val="16"/>
                              <w:szCs w:val="16"/>
                              <w14:textFill>
                                <w14:solidFill>
                                  <w14:schemeClr w14:val="accent6">
                                    <w14:lumMod w14:val="75000"/>
                                    <w14:lumMod w14:val="75000"/>
                                  </w14:schemeClr>
                                </w14:solidFill>
                              </w14:textFill>
                            </w:rPr>
                            <w:t xml:space="preserve"> </w:t>
                          </w:r>
                          <w:hyperlink r:id="rId1" w:history="1">
                            <w:r w:rsidRPr="00231AF0">
                              <w:rPr>
                                <w:rStyle w:val="Hyperlink"/>
                                <w:b/>
                                <w:bCs/>
                                <w:color w:val="034990" w:themeColor="hyperlink" w:themeShade="BF"/>
                                <w:sz w:val="20"/>
                                <w:szCs w:val="20"/>
                              </w:rPr>
                              <w:t>http://creativecommons.org/licenses/by/4.0/</w:t>
                            </w:r>
                          </w:hyperlink>
                        </w:p>
                        <w:p w14:paraId="7201B73A" w14:textId="77777777" w:rsidR="00AD5744" w:rsidRPr="00231AF0" w:rsidRDefault="00AD5744" w:rsidP="00AD5744">
                          <w:pPr>
                            <w:pStyle w:val="Articalhistory"/>
                            <w:rPr>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52E8B" id="_x0000_t202" coordsize="21600,21600" o:spt="202" path="m,l,21600r21600,l21600,xe">
              <v:stroke joinstyle="miter"/>
              <v:path gradientshapeok="t" o:connecttype="rect"/>
            </v:shapetype>
            <v:shape id="Text Box 6" o:spid="_x0000_s1028" type="#_x0000_t202" style="position:absolute;left:0;text-align:left;margin-left:-57.25pt;margin-top:-1.95pt;width:257.4pt;height:4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" fillcolor="white [3201]" stroked="f" strokeweight=".5pt">
              <v:textbox>
                <w:txbxContent>
                  <w:p w14:paraId="19D3EB97" w14:textId="77777777" w:rsidR="00AD5744" w:rsidRPr="00231AF0" w:rsidRDefault="00AD5744" w:rsidP="00AD5744">
                    <w:pPr>
                      <w:pStyle w:val="Articalhistory"/>
                      <w:rPr>
                        <w:b/>
                        <w:bCs/>
                        <w:sz w:val="20"/>
                        <w:szCs w:val="20"/>
                      </w:rPr>
                    </w:pPr>
                    <w:r w:rsidRPr="00231AF0">
                      <w:rPr>
                        <w:b/>
                        <w:bCs/>
                        <w:color w:val="538135" w:themeColor="accent6" w:themeShade="BF"/>
                        <w:sz w:val="16"/>
                        <w:szCs w:val="16"/>
                        <w:lang w:bidi="ar-SA"/>
                        <w14:textFill>
                          <w14:solidFill>
                            <w14:schemeClr w14:val="accent6">
                              <w14:lumMod w14:val="75000"/>
                              <w14:lumMod w14:val="75000"/>
                            </w14:schemeClr>
                          </w14:solidFill>
                        </w14:textFill>
                      </w:rPr>
                      <w:t>© THIS IS AN OPEN ACCESS ARTICLE UNDER THE CC BY LICENSE.</w:t>
                    </w:r>
                    <w:r w:rsidRPr="00231AF0">
                      <w:rPr>
                        <w:b/>
                        <w:bCs/>
                        <w:color w:val="538135" w:themeColor="accent6" w:themeShade="BF"/>
                        <w:sz w:val="16"/>
                        <w:szCs w:val="16"/>
                        <w14:textFill>
                          <w14:solidFill>
                            <w14:schemeClr w14:val="accent6">
                              <w14:lumMod w14:val="75000"/>
                              <w14:lumMod w14:val="75000"/>
                            </w14:schemeClr>
                          </w14:solidFill>
                        </w14:textFill>
                      </w:rPr>
                      <w:t xml:space="preserve"> </w:t>
                    </w:r>
                    <w:hyperlink r:id="rId2" w:history="1">
                      <w:r w:rsidRPr="00231AF0">
                        <w:rPr>
                          <w:rStyle w:val="Hyperlink"/>
                          <w:b/>
                          <w:bCs/>
                          <w:color w:val="034990" w:themeColor="hyperlink" w:themeShade="BF"/>
                          <w:sz w:val="20"/>
                          <w:szCs w:val="20"/>
                        </w:rPr>
                        <w:t>http://creativecommons.org/licenses/by/4.0/</w:t>
                      </w:r>
                    </w:hyperlink>
                  </w:p>
                  <w:p w14:paraId="7201B73A" w14:textId="77777777" w:rsidR="00AD5744" w:rsidRPr="00231AF0" w:rsidRDefault="00AD5744" w:rsidP="00AD5744">
                    <w:pPr>
                      <w:pStyle w:val="Articalhistory"/>
                      <w:rPr>
                        <w:b/>
                        <w:bCs/>
                        <w:sz w:val="20"/>
                        <w:szCs w:val="20"/>
                      </w:rPr>
                    </w:pPr>
                  </w:p>
                </w:txbxContent>
              </v:textbox>
            </v:shape>
          </w:pict>
        </mc:Fallback>
      </mc:AlternateContent>
    </w:r>
    <w:r>
      <w:rPr>
        <w:noProof/>
        <w:lang w:eastAsia="en-GB"/>
      </w:rPr>
      <mc:AlternateContent>
        <mc:Choice Requires="wps">
          <w:drawing>
            <wp:anchor distT="0" distB="0" distL="114300" distR="114300" simplePos="0" relativeHeight="251680768" behindDoc="0" locked="0" layoutInCell="1" allowOverlap="1" wp14:anchorId="65177642" wp14:editId="2BCD70CE">
              <wp:simplePos x="0" y="0"/>
              <wp:positionH relativeFrom="margin">
                <wp:align>center</wp:align>
              </wp:positionH>
              <wp:positionV relativeFrom="paragraph">
                <wp:posOffset>-81482</wp:posOffset>
              </wp:positionV>
              <wp:extent cx="6311900" cy="0"/>
              <wp:effectExtent l="0" t="0" r="0" b="0"/>
              <wp:wrapNone/>
              <wp:docPr id="1482301238" name="Straight Connector 1"/>
              <wp:cNvGraphicFramePr/>
              <a:graphic xmlns:a="http://schemas.openxmlformats.org/drawingml/2006/main">
                <a:graphicData uri="http://schemas.microsoft.com/office/word/2010/wordprocessingShape">
                  <wps:wsp>
                    <wps:cNvCnPr/>
                    <wps:spPr>
                      <a:xfrm flipV="1">
                        <a:off x="0" y="0"/>
                        <a:ext cx="6311900" cy="0"/>
                      </a:xfrm>
                      <a:prstGeom prst="line">
                        <a:avLst/>
                      </a:prstGeom>
                      <a:ln>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D31C8A" id="Straight Connector 1" o:spid="_x0000_s1026" style="position:absolute;flip:y;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4pt" to="49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" strokecolor="#375623 [1609]" strokeweight=".5pt">
              <v:stroke joinstyle="miter"/>
              <w10:wrap anchorx="margin"/>
            </v:line>
          </w:pict>
        </mc:Fallback>
      </mc:AlternateContent>
    </w:r>
    <w:r w:rsidR="00AD5744">
      <w:rPr>
        <w:noProof/>
        <w:lang w:eastAsia="en-GB"/>
      </w:rPr>
      <mc:AlternateContent>
        <mc:Choice Requires="wps">
          <w:drawing>
            <wp:anchor distT="0" distB="0" distL="114300" distR="114300" simplePos="0" relativeHeight="251676672" behindDoc="0" locked="0" layoutInCell="1" allowOverlap="1" wp14:anchorId="4ACD53B1" wp14:editId="48085111">
              <wp:simplePos x="0" y="0"/>
              <wp:positionH relativeFrom="column">
                <wp:posOffset>3534913</wp:posOffset>
              </wp:positionH>
              <wp:positionV relativeFrom="paragraph">
                <wp:posOffset>0</wp:posOffset>
              </wp:positionV>
              <wp:extent cx="2933304" cy="533841"/>
              <wp:effectExtent l="0" t="0" r="635" b="0"/>
              <wp:wrapNone/>
              <wp:docPr id="2007899544" name="Text Box 6"/>
              <wp:cNvGraphicFramePr/>
              <a:graphic xmlns:a="http://schemas.openxmlformats.org/drawingml/2006/main">
                <a:graphicData uri="http://schemas.microsoft.com/office/word/2010/wordprocessingShape">
                  <wps:wsp>
                    <wps:cNvSpPr txBox="1"/>
                    <wps:spPr>
                      <a:xfrm>
                        <a:off x="0" y="0"/>
                        <a:ext cx="2933304" cy="533841"/>
                      </a:xfrm>
                      <a:prstGeom prst="rect">
                        <a:avLst/>
                      </a:prstGeom>
                      <a:solidFill>
                        <a:schemeClr val="lt1"/>
                      </a:solidFill>
                      <a:ln w="6350">
                        <a:noFill/>
                      </a:ln>
                    </wps:spPr>
                    <wps:txbx>
                      <w:txbxContent>
                        <w:p w14:paraId="0B0B99B6" w14:textId="77777777" w:rsidR="00AD5744" w:rsidRPr="00231AF0" w:rsidRDefault="00AD5744" w:rsidP="00AD5744">
                          <w:pPr>
                            <w:pStyle w:val="Footer"/>
                            <w:tabs>
                              <w:tab w:val="clear" w:pos="4513"/>
                              <w:tab w:val="clear" w:pos="9026"/>
                              <w:tab w:val="left" w:pos="6850"/>
                            </w:tabs>
                            <w:jc w:val="center"/>
                            <w:rPr>
                              <w:rFonts w:cstheme="majorBidi"/>
                              <w:b/>
                              <w:sz w:val="22"/>
                              <w:szCs w:val="14"/>
                            </w:rPr>
                          </w:pPr>
                          <w:r w:rsidRPr="00231AF0">
                            <w:rPr>
                              <w:rFonts w:cstheme="majorBidi"/>
                              <w:b/>
                              <w:sz w:val="22"/>
                              <w:szCs w:val="14"/>
                            </w:rPr>
                            <w:t>http://www.nujms.org</w:t>
                          </w:r>
                        </w:p>
                        <w:p w14:paraId="5714A419" w14:textId="77777777" w:rsidR="00AD5744" w:rsidRPr="00231AF0" w:rsidRDefault="00AD5744" w:rsidP="00AD5744">
                          <w:pPr>
                            <w:pStyle w:val="Footer"/>
                            <w:tabs>
                              <w:tab w:val="clear" w:pos="4513"/>
                              <w:tab w:val="clear" w:pos="9026"/>
                              <w:tab w:val="left" w:pos="6850"/>
                            </w:tabs>
                            <w:jc w:val="right"/>
                            <w:rPr>
                              <w:rFonts w:cstheme="majorBidi"/>
                              <w:b/>
                              <w:sz w:val="24"/>
                              <w:szCs w:val="16"/>
                            </w:rPr>
                          </w:pPr>
                          <w:r w:rsidRPr="00231AF0">
                            <w:rPr>
                              <w:rFonts w:cstheme="majorBidi"/>
                              <w:b/>
                              <w:sz w:val="22"/>
                              <w:szCs w:val="22"/>
                            </w:rPr>
                            <w:t xml:space="preserve">  </w:t>
                          </w:r>
                          <w:proofErr w:type="spellStart"/>
                          <w:r w:rsidRPr="00231AF0">
                            <w:rPr>
                              <w:rFonts w:cstheme="majorBidi"/>
                              <w:b/>
                              <w:sz w:val="22"/>
                              <w:szCs w:val="22"/>
                            </w:rPr>
                            <w:t>Ninevah</w:t>
                          </w:r>
                          <w:proofErr w:type="spellEnd"/>
                          <w:r w:rsidRPr="00231AF0">
                            <w:rPr>
                              <w:rFonts w:cstheme="majorBidi"/>
                              <w:b/>
                              <w:sz w:val="22"/>
                              <w:szCs w:val="22"/>
                            </w:rPr>
                            <w:t xml:space="preserve"> </w:t>
                          </w:r>
                          <w:proofErr w:type="spellStart"/>
                          <w:r w:rsidRPr="00231AF0">
                            <w:rPr>
                              <w:rFonts w:cstheme="majorBidi"/>
                              <w:b/>
                              <w:sz w:val="22"/>
                              <w:szCs w:val="22"/>
                            </w:rPr>
                            <w:t>Univ</w:t>
                          </w:r>
                          <w:proofErr w:type="spellEnd"/>
                          <w:r w:rsidRPr="00231AF0">
                            <w:rPr>
                              <w:rFonts w:cstheme="majorBidi"/>
                              <w:b/>
                              <w:sz w:val="22"/>
                              <w:szCs w:val="22"/>
                            </w:rPr>
                            <w:t xml:space="preserve"> J Med Sci. 2025;</w:t>
                          </w:r>
                          <w:r w:rsidRPr="00231AF0">
                            <w:rPr>
                              <w:rFonts w:cstheme="majorBidi"/>
                              <w:b/>
                              <w:sz w:val="22"/>
                              <w:szCs w:val="22"/>
                              <w:lang w:bidi="ar-IQ"/>
                            </w:rPr>
                            <w:t>1(</w:t>
                          </w:r>
                          <w:r>
                            <w:rPr>
                              <w:rFonts w:cstheme="majorBidi" w:hint="cs"/>
                              <w:b/>
                              <w:sz w:val="22"/>
                              <w:szCs w:val="22"/>
                              <w:rtl/>
                              <w:lang w:bidi="ar-IQ"/>
                            </w:rPr>
                            <w:t>1</w:t>
                          </w:r>
                          <w:r w:rsidRPr="00231AF0">
                            <w:rPr>
                              <w:rFonts w:cstheme="majorBidi"/>
                              <w:b/>
                              <w:sz w:val="22"/>
                              <w:szCs w:val="22"/>
                              <w:lang w:bidi="ar-IQ"/>
                            </w:rPr>
                            <w:t>)</w:t>
                          </w:r>
                        </w:p>
                        <w:p w14:paraId="4DE829C6" w14:textId="77777777" w:rsidR="00AD5744" w:rsidRPr="00231AF0" w:rsidRDefault="00AD5744" w:rsidP="00AD5744">
                          <w:pPr>
                            <w:rPr>
                              <w:rFonts w:cstheme="majorBidi"/>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CD53B1" id="_x0000_s1029" type="#_x0000_t202" style="position:absolute;left:0;text-align:left;margin-left:278.35pt;margin-top:0;width:230.95pt;height:42.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" fillcolor="white [3201]" stroked="f" strokeweight=".5pt">
              <v:textbox>
                <w:txbxContent>
                  <w:p w14:paraId="0B0B99B6" w14:textId="77777777" w:rsidR="00AD5744" w:rsidRPr="00231AF0" w:rsidRDefault="00AD5744" w:rsidP="00AD5744">
                    <w:pPr>
                      <w:pStyle w:val="Footer"/>
                      <w:tabs>
                        <w:tab w:val="clear" w:pos="4513"/>
                        <w:tab w:val="clear" w:pos="9026"/>
                        <w:tab w:val="left" w:pos="6850"/>
                      </w:tabs>
                      <w:jc w:val="center"/>
                      <w:rPr>
                        <w:rFonts w:cstheme="majorBidi"/>
                        <w:b/>
                        <w:sz w:val="22"/>
                        <w:szCs w:val="14"/>
                      </w:rPr>
                    </w:pPr>
                    <w:r w:rsidRPr="00231AF0">
                      <w:rPr>
                        <w:rFonts w:cstheme="majorBidi"/>
                        <w:b/>
                        <w:sz w:val="22"/>
                        <w:szCs w:val="14"/>
                      </w:rPr>
                      <w:t>http://www.nujms.org</w:t>
                    </w:r>
                  </w:p>
                  <w:p w14:paraId="5714A419" w14:textId="77777777" w:rsidR="00AD5744" w:rsidRPr="00231AF0" w:rsidRDefault="00AD5744" w:rsidP="00AD5744">
                    <w:pPr>
                      <w:pStyle w:val="Footer"/>
                      <w:tabs>
                        <w:tab w:val="clear" w:pos="4513"/>
                        <w:tab w:val="clear" w:pos="9026"/>
                        <w:tab w:val="left" w:pos="6850"/>
                      </w:tabs>
                      <w:jc w:val="right"/>
                      <w:rPr>
                        <w:rFonts w:cstheme="majorBidi"/>
                        <w:b/>
                        <w:sz w:val="24"/>
                        <w:szCs w:val="16"/>
                      </w:rPr>
                    </w:pPr>
                    <w:r w:rsidRPr="00231AF0">
                      <w:rPr>
                        <w:rFonts w:cstheme="majorBidi"/>
                        <w:b/>
                        <w:sz w:val="22"/>
                        <w:szCs w:val="22"/>
                      </w:rPr>
                      <w:t xml:space="preserve">  </w:t>
                    </w:r>
                    <w:proofErr w:type="spellStart"/>
                    <w:r w:rsidRPr="00231AF0">
                      <w:rPr>
                        <w:rFonts w:cstheme="majorBidi"/>
                        <w:b/>
                        <w:sz w:val="22"/>
                        <w:szCs w:val="22"/>
                      </w:rPr>
                      <w:t>Ninevah</w:t>
                    </w:r>
                    <w:proofErr w:type="spellEnd"/>
                    <w:r w:rsidRPr="00231AF0">
                      <w:rPr>
                        <w:rFonts w:cstheme="majorBidi"/>
                        <w:b/>
                        <w:sz w:val="22"/>
                        <w:szCs w:val="22"/>
                      </w:rPr>
                      <w:t xml:space="preserve"> </w:t>
                    </w:r>
                    <w:proofErr w:type="spellStart"/>
                    <w:r w:rsidRPr="00231AF0">
                      <w:rPr>
                        <w:rFonts w:cstheme="majorBidi"/>
                        <w:b/>
                        <w:sz w:val="22"/>
                        <w:szCs w:val="22"/>
                      </w:rPr>
                      <w:t>Univ</w:t>
                    </w:r>
                    <w:proofErr w:type="spellEnd"/>
                    <w:r w:rsidRPr="00231AF0">
                      <w:rPr>
                        <w:rFonts w:cstheme="majorBidi"/>
                        <w:b/>
                        <w:sz w:val="22"/>
                        <w:szCs w:val="22"/>
                      </w:rPr>
                      <w:t xml:space="preserve"> J Med Sci. 2025;</w:t>
                    </w:r>
                    <w:r w:rsidRPr="00231AF0">
                      <w:rPr>
                        <w:rFonts w:cstheme="majorBidi"/>
                        <w:b/>
                        <w:sz w:val="22"/>
                        <w:szCs w:val="22"/>
                        <w:lang w:bidi="ar-IQ"/>
                      </w:rPr>
                      <w:t>1(</w:t>
                    </w:r>
                    <w:r>
                      <w:rPr>
                        <w:rFonts w:cstheme="majorBidi" w:hint="cs"/>
                        <w:b/>
                        <w:sz w:val="22"/>
                        <w:szCs w:val="22"/>
                        <w:rtl/>
                        <w:lang w:bidi="ar-IQ"/>
                      </w:rPr>
                      <w:t>1</w:t>
                    </w:r>
                    <w:r w:rsidRPr="00231AF0">
                      <w:rPr>
                        <w:rFonts w:cstheme="majorBidi"/>
                        <w:b/>
                        <w:sz w:val="22"/>
                        <w:szCs w:val="22"/>
                        <w:lang w:bidi="ar-IQ"/>
                      </w:rPr>
                      <w:t>)</w:t>
                    </w:r>
                  </w:p>
                  <w:p w14:paraId="4DE829C6" w14:textId="77777777" w:rsidR="00AD5744" w:rsidRPr="00231AF0" w:rsidRDefault="00AD5744" w:rsidP="00AD5744">
                    <w:pPr>
                      <w:rPr>
                        <w:rFonts w:cstheme="majorBidi"/>
                        <w:b/>
                      </w:rPr>
                    </w:pPr>
                  </w:p>
                </w:txbxContent>
              </v:textbox>
            </v:shape>
          </w:pict>
        </mc:Fallback>
      </mc:AlternateContent>
    </w:r>
    <w:r w:rsidR="00F14948" w:rsidRPr="00F14948">
      <w:rPr>
        <w:b/>
        <w:bCs/>
        <w:sz w:val="22"/>
        <w:szCs w:val="22"/>
      </w:rPr>
      <w:fldChar w:fldCharType="begin"/>
    </w:r>
    <w:r w:rsidR="00F14948" w:rsidRPr="00F14948">
      <w:rPr>
        <w:b/>
        <w:bCs/>
        <w:sz w:val="22"/>
        <w:szCs w:val="22"/>
      </w:rPr>
      <w:instrText xml:space="preserve"> PAGE   \* MERGEFORMAT </w:instrText>
    </w:r>
    <w:r w:rsidR="00F14948" w:rsidRPr="00F14948">
      <w:rPr>
        <w:b/>
        <w:bCs/>
        <w:sz w:val="22"/>
        <w:szCs w:val="22"/>
      </w:rPr>
      <w:fldChar w:fldCharType="separate"/>
    </w:r>
    <w:r w:rsidR="00EE0CE1">
      <w:rPr>
        <w:b/>
        <w:bCs/>
        <w:noProof/>
        <w:sz w:val="22"/>
        <w:szCs w:val="22"/>
      </w:rPr>
      <w:t>36</w:t>
    </w:r>
    <w:r w:rsidR="00F14948" w:rsidRPr="00F14948">
      <w:rPr>
        <w:b/>
        <w:bCs/>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B0558" w14:textId="77777777" w:rsidR="00BC71DB" w:rsidRDefault="00BC71DB" w:rsidP="00D05CD7">
      <w:pPr>
        <w:spacing w:after="0" w:line="240" w:lineRule="auto"/>
      </w:pPr>
      <w:r>
        <w:separator/>
      </w:r>
    </w:p>
  </w:footnote>
  <w:footnote w:type="continuationSeparator" w:id="0">
    <w:p w14:paraId="0FF68438" w14:textId="77777777" w:rsidR="00BC71DB" w:rsidRDefault="00BC71DB" w:rsidP="00D05C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8A7EB" w14:textId="3DF201DA" w:rsidR="00D05CD7" w:rsidRDefault="00DA4386">
    <w:pPr>
      <w:pStyle w:val="Header"/>
    </w:pPr>
    <w:r>
      <w:rPr>
        <w:noProof/>
        <w:lang w:eastAsia="en-GB"/>
      </w:rPr>
      <mc:AlternateContent>
        <mc:Choice Requires="wps">
          <w:drawing>
            <wp:anchor distT="0" distB="0" distL="114300" distR="114300" simplePos="0" relativeHeight="251674624" behindDoc="0" locked="0" layoutInCell="1" allowOverlap="1" wp14:anchorId="083DDD8B" wp14:editId="416AEFFC">
              <wp:simplePos x="0" y="0"/>
              <wp:positionH relativeFrom="margin">
                <wp:posOffset>5536150</wp:posOffset>
              </wp:positionH>
              <wp:positionV relativeFrom="paragraph">
                <wp:posOffset>174625</wp:posOffset>
              </wp:positionV>
              <wp:extent cx="1460500" cy="241300"/>
              <wp:effectExtent l="0" t="0" r="0" b="2540"/>
              <wp:wrapNone/>
              <wp:docPr id="1589346923" name="Text Box 1"/>
              <wp:cNvGraphicFramePr/>
              <a:graphic xmlns:a="http://schemas.openxmlformats.org/drawingml/2006/main">
                <a:graphicData uri="http://schemas.microsoft.com/office/word/2010/wordprocessingShape">
                  <wps:wsp>
                    <wps:cNvSpPr txBox="1"/>
                    <wps:spPr>
                      <a:xfrm>
                        <a:off x="0" y="0"/>
                        <a:ext cx="1460500" cy="241300"/>
                      </a:xfrm>
                      <a:prstGeom prst="rect">
                        <a:avLst/>
                      </a:prstGeom>
                      <a:noFill/>
                      <a:ln>
                        <a:noFill/>
                      </a:ln>
                    </wps:spPr>
                    <wps:txbx>
                      <w:txbxContent>
                        <w:p w14:paraId="745A0EAD" w14:textId="77777777" w:rsidR="00DA4386" w:rsidRPr="00DA4386" w:rsidRDefault="00DA4386" w:rsidP="00DA4386">
                          <w:pPr>
                            <w:pStyle w:val="Header"/>
                            <w:rPr>
                              <w:rFonts w:ascii="Franklin Gothic Medium" w:hAnsi="Franklin Gothic Medium"/>
                              <w:b/>
                              <w:noProof/>
                              <w:color w:val="FFFFFF" w:themeColor="background1"/>
                              <w:spacing w:val="10"/>
                              <w:sz w:val="24"/>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pPr>
                          <w:r w:rsidRPr="00DA4386">
                            <w:rPr>
                              <w:rFonts w:ascii="Franklin Gothic Medium" w:hAnsi="Franklin Gothic Medium"/>
                              <w:b/>
                              <w:noProof/>
                              <w:color w:val="FFFFFF" w:themeColor="background1"/>
                              <w:spacing w:val="10"/>
                              <w:sz w:val="24"/>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t>ARTICLE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83DDD8B" id="_x0000_t202" coordsize="21600,21600" o:spt="202" path="m,l,21600r21600,l21600,xe">
              <v:stroke joinstyle="miter"/>
              <v:path gradientshapeok="t" o:connecttype="rect"/>
            </v:shapetype>
            <v:shape id="Text Box 1" o:spid="_x0000_s1026" type="#_x0000_t202" style="position:absolute;margin-left:435.9pt;margin-top:13.75pt;width:115pt;height:19pt;z-index:2516746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" filled="f" stroked="f">
              <v:textbox style="mso-fit-shape-to-text:t">
                <w:txbxContent>
                  <w:p w14:paraId="745A0EAD" w14:textId="77777777" w:rsidR="00DA4386" w:rsidRPr="00DA4386" w:rsidRDefault="00DA4386" w:rsidP="00DA4386">
                    <w:pPr>
                      <w:pStyle w:val="Header"/>
                      <w:rPr>
                        <w:rFonts w:ascii="Franklin Gothic Medium" w:hAnsi="Franklin Gothic Medium"/>
                        <w:b/>
                        <w:noProof/>
                        <w:color w:val="FFFFFF" w:themeColor="background1"/>
                        <w:spacing w:val="10"/>
                        <w:sz w:val="24"/>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pPr>
                    <w:r w:rsidRPr="00DA4386">
                      <w:rPr>
                        <w:rFonts w:ascii="Franklin Gothic Medium" w:hAnsi="Franklin Gothic Medium"/>
                        <w:b/>
                        <w:noProof/>
                        <w:color w:val="FFFFFF" w:themeColor="background1"/>
                        <w:spacing w:val="10"/>
                        <w:sz w:val="24"/>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t>ARTICLE</w:t>
                    </w:r>
                  </w:p>
                </w:txbxContent>
              </v:textbox>
              <w10:wrap anchorx="margin"/>
            </v:shape>
          </w:pict>
        </mc:Fallback>
      </mc:AlternateContent>
    </w:r>
    <w:r>
      <w:rPr>
        <w:noProof/>
        <w:lang w:eastAsia="en-GB"/>
      </w:rPr>
      <mc:AlternateContent>
        <mc:Choice Requires="wps">
          <w:drawing>
            <wp:anchor distT="0" distB="0" distL="114300" distR="114300" simplePos="0" relativeHeight="251668480" behindDoc="0" locked="0" layoutInCell="1" allowOverlap="1" wp14:anchorId="72043FF4" wp14:editId="7655B3CF">
              <wp:simplePos x="0" y="0"/>
              <wp:positionH relativeFrom="margin">
                <wp:posOffset>5417902</wp:posOffset>
              </wp:positionH>
              <wp:positionV relativeFrom="paragraph">
                <wp:posOffset>174216</wp:posOffset>
              </wp:positionV>
              <wp:extent cx="1050501" cy="258234"/>
              <wp:effectExtent l="0" t="0" r="0" b="8890"/>
              <wp:wrapNone/>
              <wp:docPr id="774711168" name="Rectangle: Top Corners Rounded 3"/>
              <wp:cNvGraphicFramePr/>
              <a:graphic xmlns:a="http://schemas.openxmlformats.org/drawingml/2006/main">
                <a:graphicData uri="http://schemas.microsoft.com/office/word/2010/wordprocessingShape">
                  <wps:wsp>
                    <wps:cNvSpPr/>
                    <wps:spPr>
                      <a:xfrm>
                        <a:off x="0" y="0"/>
                        <a:ext cx="1050501" cy="258234"/>
                      </a:xfrm>
                      <a:prstGeom prst="round2Same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B04013" id="Rectangle: Top Corners Rounded 3" o:spid="_x0000_s1026" style="position:absolute;margin-left:426.6pt;margin-top:13.7pt;width:82.7pt;height:20.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50501,258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" path="m43040,r964421,c1031231,,1050501,19270,1050501,43040r,215194l1050501,258234,,258234r,l,43040c,19270,19270,,43040,xe" fillcolor="#375623 [1609]" stroked="f" strokeweight="1pt">
              <v:stroke joinstyle="miter"/>
              <v:path arrowok="t" o:connecttype="custom" o:connectlocs="43040,0;1007461,0;1050501,43040;1050501,258234;1050501,258234;0,258234;0,258234;0,43040;43040,0" o:connectangles="0,0,0,0,0,0,0,0,0"/>
              <w10:wrap anchorx="margin"/>
            </v:shape>
          </w:pict>
        </mc:Fallback>
      </mc:AlternateContent>
    </w:r>
    <w:r>
      <w:rPr>
        <w:noProof/>
        <w:lang w:eastAsia="en-GB"/>
      </w:rPr>
      <mc:AlternateContent>
        <mc:Choice Requires="wps">
          <w:drawing>
            <wp:anchor distT="0" distB="0" distL="114300" distR="114300" simplePos="0" relativeHeight="251672576" behindDoc="0" locked="0" layoutInCell="1" allowOverlap="1" wp14:anchorId="4EDD8ABE" wp14:editId="6B3F1210">
              <wp:simplePos x="0" y="0"/>
              <wp:positionH relativeFrom="margin">
                <wp:posOffset>669956</wp:posOffset>
              </wp:positionH>
              <wp:positionV relativeFrom="paragraph">
                <wp:posOffset>-60281</wp:posOffset>
              </wp:positionV>
              <wp:extent cx="4698259" cy="1828800"/>
              <wp:effectExtent l="0" t="0" r="0" b="3175"/>
              <wp:wrapNone/>
              <wp:docPr id="1926508710" name="Text Box 1"/>
              <wp:cNvGraphicFramePr/>
              <a:graphic xmlns:a="http://schemas.openxmlformats.org/drawingml/2006/main">
                <a:graphicData uri="http://schemas.microsoft.com/office/word/2010/wordprocessingShape">
                  <wps:wsp>
                    <wps:cNvSpPr txBox="1"/>
                    <wps:spPr>
                      <a:xfrm>
                        <a:off x="0" y="0"/>
                        <a:ext cx="4698259" cy="1828800"/>
                      </a:xfrm>
                      <a:prstGeom prst="rect">
                        <a:avLst/>
                      </a:prstGeom>
                      <a:noFill/>
                      <a:ln>
                        <a:noFill/>
                      </a:ln>
                    </wps:spPr>
                    <wps:txbx>
                      <w:txbxContent>
                        <w:p w14:paraId="2E85C21C" w14:textId="77777777" w:rsidR="00DA4386" w:rsidRPr="00DA4386" w:rsidRDefault="00DA4386" w:rsidP="00DA4386">
                          <w:pPr>
                            <w:pStyle w:val="Header"/>
                            <w:jc w:val="center"/>
                            <w:rPr>
                              <w:rFonts w:ascii="Franklin Gothic Medium" w:hAnsi="Franklin Gothic Medium"/>
                              <w:b/>
                              <w:bCs/>
                              <w:sz w:val="18"/>
                              <w:szCs w:val="18"/>
                            </w:rPr>
                          </w:pPr>
                          <w:r w:rsidRPr="00DA4386">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NINEVAH UNIVERSITY JOURNAL OF MEDICAL SCIENCES</w:t>
                          </w:r>
                          <w:r w:rsidRPr="00DA4386">
                            <w:rPr>
                              <w:rFonts w:ascii="Franklin Gothic Medium" w:hAnsi="Franklin Gothic Medium"/>
                              <w:b/>
                              <w:bCs/>
                              <w:sz w:val="18"/>
                              <w:szCs w:val="18"/>
                            </w:rPr>
                            <w:t xml:space="preserve">   Vol. 1, Issue 1, July 2025</w:t>
                          </w:r>
                        </w:p>
                        <w:p w14:paraId="5C7479CC" w14:textId="77777777" w:rsidR="00DA4386" w:rsidRPr="00DA4386" w:rsidRDefault="00DA4386" w:rsidP="00DA4386">
                          <w:pPr>
                            <w:pStyle w:val="Header"/>
                            <w:jc w:val="center"/>
                            <w:rPr>
                              <w:rFonts w:ascii="Franklin Gothic Medium" w:hAnsi="Franklin Gothic Medium"/>
                              <w:b/>
                              <w:bCs/>
                              <w:sz w:val="18"/>
                              <w:szCs w:val="18"/>
                            </w:rPr>
                          </w:pPr>
                        </w:p>
                        <w:p w14:paraId="7B7167D7" w14:textId="77777777" w:rsidR="00DA4386" w:rsidRPr="00DA4386" w:rsidRDefault="00DA4386" w:rsidP="00DA4386">
                          <w:pPr>
                            <w:jc w:val="center"/>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A4386">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ISSN </w:t>
                          </w:r>
                          <w:hyperlink r:id="rId1" w:history="1">
                            <w:r w:rsidRPr="00DA4386">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3106-5430</w:t>
                            </w:r>
                          </w:hyperlink>
                          <w:r w:rsidRPr="00DA4386">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(print)</w:t>
                          </w:r>
                        </w:p>
                        <w:p w14:paraId="48A9900D" w14:textId="77777777" w:rsidR="00DA4386" w:rsidRPr="00DA4386" w:rsidRDefault="00DA4386" w:rsidP="00DA4386">
                          <w:pPr>
                            <w:pStyle w:val="Header"/>
                            <w:jc w:val="center"/>
                            <w:rPr>
                              <w:rFonts w:ascii="Franklin Gothic Medium" w:hAnsi="Franklin Gothic Medium"/>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EDD8ABE" id="_x0000_s1027" type="#_x0000_t202" style="position:absolute;margin-left:52.75pt;margin-top:-4.75pt;width:369.95pt;height:2in;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" filled="f" stroked="f">
              <v:textbox style="mso-fit-shape-to-text:t">
                <w:txbxContent>
                  <w:p w14:paraId="2E85C21C" w14:textId="77777777" w:rsidR="00DA4386" w:rsidRPr="00DA4386" w:rsidRDefault="00DA4386" w:rsidP="00DA4386">
                    <w:pPr>
                      <w:pStyle w:val="Header"/>
                      <w:jc w:val="center"/>
                      <w:rPr>
                        <w:rFonts w:ascii="Franklin Gothic Medium" w:hAnsi="Franklin Gothic Medium"/>
                        <w:b/>
                        <w:bCs/>
                        <w:sz w:val="18"/>
                        <w:szCs w:val="18"/>
                      </w:rPr>
                    </w:pPr>
                    <w:r w:rsidRPr="00DA4386">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NINEVAH UNIVERSITY JOURNAL OF MEDICAL SCIENCES</w:t>
                    </w:r>
                    <w:r w:rsidRPr="00DA4386">
                      <w:rPr>
                        <w:rFonts w:ascii="Franklin Gothic Medium" w:hAnsi="Franklin Gothic Medium"/>
                        <w:b/>
                        <w:bCs/>
                        <w:sz w:val="18"/>
                        <w:szCs w:val="18"/>
                      </w:rPr>
                      <w:t xml:space="preserve">   Vol. 1, Issue 1, July 2025</w:t>
                    </w:r>
                  </w:p>
                  <w:p w14:paraId="5C7479CC" w14:textId="77777777" w:rsidR="00DA4386" w:rsidRPr="00DA4386" w:rsidRDefault="00DA4386" w:rsidP="00DA4386">
                    <w:pPr>
                      <w:pStyle w:val="Header"/>
                      <w:jc w:val="center"/>
                      <w:rPr>
                        <w:rFonts w:ascii="Franklin Gothic Medium" w:hAnsi="Franklin Gothic Medium"/>
                        <w:b/>
                        <w:bCs/>
                        <w:sz w:val="18"/>
                        <w:szCs w:val="18"/>
                      </w:rPr>
                    </w:pPr>
                  </w:p>
                  <w:p w14:paraId="7B7167D7" w14:textId="77777777" w:rsidR="00DA4386" w:rsidRPr="00DA4386" w:rsidRDefault="00DA4386" w:rsidP="00DA4386">
                    <w:pPr>
                      <w:jc w:val="center"/>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A4386">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ISSN </w:t>
                    </w:r>
                    <w:hyperlink r:id="rId2" w:history="1">
                      <w:r w:rsidRPr="00DA4386">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3106-5430</w:t>
                      </w:r>
                    </w:hyperlink>
                    <w:r w:rsidRPr="00DA4386">
                      <w:rPr>
                        <w:rFonts w:ascii="Franklin Gothic Medium" w:hAnsi="Franklin Gothic Medium"/>
                        <w:b/>
                        <w:bCs/>
                        <w:noProof/>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(print)</w:t>
                    </w:r>
                  </w:p>
                  <w:p w14:paraId="48A9900D" w14:textId="77777777" w:rsidR="00DA4386" w:rsidRPr="00DA4386" w:rsidRDefault="00DA4386" w:rsidP="00DA4386">
                    <w:pPr>
                      <w:pStyle w:val="Header"/>
                      <w:jc w:val="center"/>
                      <w:rPr>
                        <w:rFonts w:ascii="Franklin Gothic Medium" w:hAnsi="Franklin Gothic Medium"/>
                        <w:b/>
                        <w:bCs/>
                        <w:sz w:val="18"/>
                        <w:szCs w:val="18"/>
                      </w:rPr>
                    </w:pPr>
                  </w:p>
                </w:txbxContent>
              </v:textbox>
              <w10:wrap anchorx="margin"/>
            </v:shape>
          </w:pict>
        </mc:Fallback>
      </mc:AlternateContent>
    </w:r>
    <w:r w:rsidRPr="006E0241">
      <w:rPr>
        <w:rFonts w:ascii="NexusSans-Italic" w:hAnsi="NexusSans-Italic"/>
        <w:i/>
        <w:iCs/>
        <w:noProof/>
        <w:color w:val="0000FF"/>
        <w:lang w:eastAsia="en-GB"/>
      </w:rPr>
      <w:drawing>
        <wp:anchor distT="0" distB="0" distL="114300" distR="114300" simplePos="0" relativeHeight="251670528" behindDoc="0" locked="0" layoutInCell="1" allowOverlap="1" wp14:anchorId="5C50D99F" wp14:editId="3258115F">
          <wp:simplePos x="0" y="0"/>
          <wp:positionH relativeFrom="margin">
            <wp:posOffset>-665480</wp:posOffset>
          </wp:positionH>
          <wp:positionV relativeFrom="topMargin">
            <wp:posOffset>366395</wp:posOffset>
          </wp:positionV>
          <wp:extent cx="1405255" cy="281305"/>
          <wp:effectExtent l="0" t="0" r="4445" b="4445"/>
          <wp:wrapSquare wrapText="bothSides"/>
          <wp:docPr id="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6"/>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405255" cy="2813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0" layoutInCell="1" allowOverlap="1" wp14:anchorId="30AEAB3C" wp14:editId="50E5A048">
          <wp:simplePos x="0" y="0"/>
          <wp:positionH relativeFrom="column">
            <wp:posOffset>5251010</wp:posOffset>
          </wp:positionH>
          <wp:positionV relativeFrom="paragraph">
            <wp:posOffset>-362642</wp:posOffset>
          </wp:positionV>
          <wp:extent cx="1273175" cy="560070"/>
          <wp:effectExtent l="0" t="0" r="0" b="0"/>
          <wp:wrapTight wrapText="bothSides">
            <wp:wrapPolygon edited="0">
              <wp:start x="646" y="735"/>
              <wp:lineTo x="646" y="14694"/>
              <wp:lineTo x="2586" y="18367"/>
              <wp:lineTo x="7433" y="18367"/>
              <wp:lineTo x="20038" y="16898"/>
              <wp:lineTo x="21007" y="13959"/>
              <wp:lineTo x="19392" y="2204"/>
              <wp:lineTo x="6787" y="735"/>
              <wp:lineTo x="646" y="735"/>
            </wp:wrapPolygon>
          </wp:wrapTight>
          <wp:docPr id="453460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6086" name="Picture 45346086"/>
                  <pic:cNvPicPr/>
                </pic:nvPicPr>
                <pic:blipFill>
                  <a:blip r:embed="rId4">
                    <a:extLst>
                      <a:ext uri="{28A0092B-C50C-407E-A947-70E740481C1C}">
                        <a14:useLocalDpi xmlns:a14="http://schemas.microsoft.com/office/drawing/2010/main" val="0"/>
                      </a:ext>
                    </a:extLst>
                  </a:blip>
                  <a:stretch>
                    <a:fillRect/>
                  </a:stretch>
                </pic:blipFill>
                <pic:spPr>
                  <a:xfrm>
                    <a:off x="0" y="0"/>
                    <a:ext cx="1273175" cy="560070"/>
                  </a:xfrm>
                  <a:prstGeom prst="rect">
                    <a:avLst/>
                  </a:prstGeom>
                </pic:spPr>
              </pic:pic>
            </a:graphicData>
          </a:graphic>
          <wp14:sizeRelH relativeFrom="margin">
            <wp14:pctWidth>0</wp14:pctWidth>
          </wp14:sizeRelH>
          <wp14:sizeRelV relativeFrom="margin">
            <wp14:pctHeight>0</wp14:pctHeight>
          </wp14:sizeRelV>
        </wp:anchor>
      </w:drawing>
    </w:r>
    <w:r w:rsidR="00743771">
      <w:rPr>
        <w:noProof/>
        <w:lang w:eastAsia="en-GB"/>
      </w:rPr>
      <mc:AlternateContent>
        <mc:Choice Requires="wps">
          <w:drawing>
            <wp:anchor distT="0" distB="0" distL="114300" distR="114300" simplePos="0" relativeHeight="251659264" behindDoc="0" locked="0" layoutInCell="1" allowOverlap="1" wp14:anchorId="293AEF96" wp14:editId="1C0608A1">
              <wp:simplePos x="0" y="0"/>
              <wp:positionH relativeFrom="column">
                <wp:posOffset>-52855</wp:posOffset>
              </wp:positionH>
              <wp:positionV relativeFrom="paragraph">
                <wp:posOffset>205434</wp:posOffset>
              </wp:positionV>
              <wp:extent cx="5015986" cy="0"/>
              <wp:effectExtent l="0" t="0" r="0" b="0"/>
              <wp:wrapNone/>
              <wp:docPr id="1894515859" name="Straight Connector 1"/>
              <wp:cNvGraphicFramePr/>
              <a:graphic xmlns:a="http://schemas.openxmlformats.org/drawingml/2006/main">
                <a:graphicData uri="http://schemas.microsoft.com/office/word/2010/wordprocessingShape">
                  <wps:wsp>
                    <wps:cNvCnPr/>
                    <wps:spPr>
                      <a:xfrm flipV="1">
                        <a:off x="0" y="0"/>
                        <a:ext cx="5015986" cy="0"/>
                      </a:xfrm>
                      <a:prstGeom prst="line">
                        <a:avLst/>
                      </a:prstGeom>
                      <a:ln>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911BC4"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6.2pt" to="39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" strokecolor="#375623 [1609]"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44227D"/>
    <w:multiLevelType w:val="hybridMultilevel"/>
    <w:tmpl w:val="4964E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C12D39"/>
    <w:multiLevelType w:val="multilevel"/>
    <w:tmpl w:val="5596D39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EB76DD"/>
    <w:multiLevelType w:val="multilevel"/>
    <w:tmpl w:val="9D58A4B6"/>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9AA6915"/>
    <w:multiLevelType w:val="multilevel"/>
    <w:tmpl w:val="DC5E81AA"/>
    <w:lvl w:ilvl="0">
      <w:start w:val="22"/>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C43284"/>
    <w:multiLevelType w:val="multilevel"/>
    <w:tmpl w:val="C0E491A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D7"/>
    <w:rsid w:val="00011CD4"/>
    <w:rsid w:val="0001628E"/>
    <w:rsid w:val="00040A19"/>
    <w:rsid w:val="000445A2"/>
    <w:rsid w:val="0004510C"/>
    <w:rsid w:val="000504F3"/>
    <w:rsid w:val="00054CD0"/>
    <w:rsid w:val="0006692C"/>
    <w:rsid w:val="00085660"/>
    <w:rsid w:val="0009118A"/>
    <w:rsid w:val="00096C09"/>
    <w:rsid w:val="000A0556"/>
    <w:rsid w:val="000A0704"/>
    <w:rsid w:val="000A39F0"/>
    <w:rsid w:val="000B2065"/>
    <w:rsid w:val="000B3414"/>
    <w:rsid w:val="000C2DA3"/>
    <w:rsid w:val="000C4625"/>
    <w:rsid w:val="000D36DA"/>
    <w:rsid w:val="000E3758"/>
    <w:rsid w:val="000F2BED"/>
    <w:rsid w:val="00131BED"/>
    <w:rsid w:val="00134254"/>
    <w:rsid w:val="0013479B"/>
    <w:rsid w:val="00142CBB"/>
    <w:rsid w:val="001433CE"/>
    <w:rsid w:val="001807E5"/>
    <w:rsid w:val="00190182"/>
    <w:rsid w:val="001C5A99"/>
    <w:rsid w:val="001C5CE3"/>
    <w:rsid w:val="001E57FA"/>
    <w:rsid w:val="002129BE"/>
    <w:rsid w:val="00224076"/>
    <w:rsid w:val="002605F9"/>
    <w:rsid w:val="00281B05"/>
    <w:rsid w:val="002B158C"/>
    <w:rsid w:val="002E476C"/>
    <w:rsid w:val="003032EE"/>
    <w:rsid w:val="003326F9"/>
    <w:rsid w:val="00332E6F"/>
    <w:rsid w:val="0035148D"/>
    <w:rsid w:val="003741B7"/>
    <w:rsid w:val="003B7DD1"/>
    <w:rsid w:val="003C0E6D"/>
    <w:rsid w:val="003C1924"/>
    <w:rsid w:val="003D5E03"/>
    <w:rsid w:val="003D7383"/>
    <w:rsid w:val="003E4139"/>
    <w:rsid w:val="003F2732"/>
    <w:rsid w:val="004141E7"/>
    <w:rsid w:val="004145A2"/>
    <w:rsid w:val="0047443B"/>
    <w:rsid w:val="00476DF8"/>
    <w:rsid w:val="004C3B36"/>
    <w:rsid w:val="004E5FF4"/>
    <w:rsid w:val="00500FCE"/>
    <w:rsid w:val="00517AF3"/>
    <w:rsid w:val="00520293"/>
    <w:rsid w:val="00520951"/>
    <w:rsid w:val="005232C8"/>
    <w:rsid w:val="005416E4"/>
    <w:rsid w:val="005564E7"/>
    <w:rsid w:val="00573D35"/>
    <w:rsid w:val="00591F14"/>
    <w:rsid w:val="005A579E"/>
    <w:rsid w:val="005B47EF"/>
    <w:rsid w:val="005C2337"/>
    <w:rsid w:val="005C2AEC"/>
    <w:rsid w:val="005C3BDD"/>
    <w:rsid w:val="006358C4"/>
    <w:rsid w:val="0063710A"/>
    <w:rsid w:val="00641241"/>
    <w:rsid w:val="00641CC8"/>
    <w:rsid w:val="00647D76"/>
    <w:rsid w:val="006775B6"/>
    <w:rsid w:val="0068327E"/>
    <w:rsid w:val="006B06F4"/>
    <w:rsid w:val="006D200B"/>
    <w:rsid w:val="006E7C89"/>
    <w:rsid w:val="007178A5"/>
    <w:rsid w:val="00717BCE"/>
    <w:rsid w:val="00743771"/>
    <w:rsid w:val="007609C4"/>
    <w:rsid w:val="007626D5"/>
    <w:rsid w:val="00762DBA"/>
    <w:rsid w:val="007B77C6"/>
    <w:rsid w:val="007E4C68"/>
    <w:rsid w:val="007F3F16"/>
    <w:rsid w:val="008535CA"/>
    <w:rsid w:val="008601A0"/>
    <w:rsid w:val="00862757"/>
    <w:rsid w:val="00872099"/>
    <w:rsid w:val="00885CBB"/>
    <w:rsid w:val="00893B38"/>
    <w:rsid w:val="008D66CC"/>
    <w:rsid w:val="008E518F"/>
    <w:rsid w:val="00903C1F"/>
    <w:rsid w:val="0091532B"/>
    <w:rsid w:val="00916EE4"/>
    <w:rsid w:val="00933F85"/>
    <w:rsid w:val="00941278"/>
    <w:rsid w:val="009476F8"/>
    <w:rsid w:val="00976DD3"/>
    <w:rsid w:val="009872D1"/>
    <w:rsid w:val="00991538"/>
    <w:rsid w:val="009C305D"/>
    <w:rsid w:val="009C4F1D"/>
    <w:rsid w:val="009D01C1"/>
    <w:rsid w:val="009E6432"/>
    <w:rsid w:val="009F15A8"/>
    <w:rsid w:val="00A10FD3"/>
    <w:rsid w:val="00A1260A"/>
    <w:rsid w:val="00A31029"/>
    <w:rsid w:val="00A72CDE"/>
    <w:rsid w:val="00A81A64"/>
    <w:rsid w:val="00A92CFB"/>
    <w:rsid w:val="00AD5744"/>
    <w:rsid w:val="00AE26CE"/>
    <w:rsid w:val="00AF2C8D"/>
    <w:rsid w:val="00B27C7C"/>
    <w:rsid w:val="00B34AE2"/>
    <w:rsid w:val="00B6393D"/>
    <w:rsid w:val="00B862D3"/>
    <w:rsid w:val="00B9166F"/>
    <w:rsid w:val="00B941F4"/>
    <w:rsid w:val="00BC71DB"/>
    <w:rsid w:val="00BE7FB4"/>
    <w:rsid w:val="00BF17B0"/>
    <w:rsid w:val="00C20A1F"/>
    <w:rsid w:val="00C326D9"/>
    <w:rsid w:val="00C442E7"/>
    <w:rsid w:val="00C51642"/>
    <w:rsid w:val="00C7215B"/>
    <w:rsid w:val="00C935D8"/>
    <w:rsid w:val="00C94B06"/>
    <w:rsid w:val="00D03FD0"/>
    <w:rsid w:val="00D05CD7"/>
    <w:rsid w:val="00D41A27"/>
    <w:rsid w:val="00D459B3"/>
    <w:rsid w:val="00D54500"/>
    <w:rsid w:val="00DA4386"/>
    <w:rsid w:val="00DE398C"/>
    <w:rsid w:val="00E05F84"/>
    <w:rsid w:val="00E10703"/>
    <w:rsid w:val="00E520A2"/>
    <w:rsid w:val="00E57EFD"/>
    <w:rsid w:val="00E73DF1"/>
    <w:rsid w:val="00E81554"/>
    <w:rsid w:val="00EB594C"/>
    <w:rsid w:val="00ED7806"/>
    <w:rsid w:val="00EE0CE1"/>
    <w:rsid w:val="00EF54DB"/>
    <w:rsid w:val="00F00FE1"/>
    <w:rsid w:val="00F02A44"/>
    <w:rsid w:val="00F03769"/>
    <w:rsid w:val="00F10E0E"/>
    <w:rsid w:val="00F14948"/>
    <w:rsid w:val="00F75110"/>
    <w:rsid w:val="00F81D62"/>
    <w:rsid w:val="00F830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C0137"/>
  <w15:chartTrackingRefBased/>
  <w15:docId w15:val="{014C347B-331D-4087-8443-820B9C75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itle"/>
    <w:qFormat/>
    <w:rsid w:val="00933F85"/>
    <w:rPr>
      <w:rFonts w:asciiTheme="majorBidi" w:hAnsiTheme="majorBidi"/>
      <w:color w:val="385623" w:themeColor="accent6" w:themeShade="80"/>
      <w:sz w:val="28"/>
    </w:rPr>
  </w:style>
  <w:style w:type="paragraph" w:styleId="Heading1">
    <w:name w:val="heading 1"/>
    <w:basedOn w:val="Normal"/>
    <w:next w:val="Normal"/>
    <w:link w:val="Heading1Char"/>
    <w:uiPriority w:val="9"/>
    <w:qFormat/>
    <w:rsid w:val="00D05CD7"/>
    <w:pPr>
      <w:keepNext/>
      <w:keepLines/>
      <w:spacing w:before="360" w:after="80"/>
      <w:outlineLvl w:val="0"/>
    </w:pPr>
    <w:rPr>
      <w:rFonts w:asciiTheme="majorHAnsi" w:eastAsiaTheme="majorEastAsia" w:hAnsiTheme="majorHAnsi" w:cstheme="majorBidi"/>
      <w:color w:val="2F5496" w:themeColor="accent1" w:themeShade="BF"/>
      <w:szCs w:val="40"/>
    </w:rPr>
  </w:style>
  <w:style w:type="paragraph" w:styleId="Heading2">
    <w:name w:val="heading 2"/>
    <w:basedOn w:val="Normal"/>
    <w:next w:val="Normal"/>
    <w:link w:val="Heading2Char"/>
    <w:uiPriority w:val="9"/>
    <w:semiHidden/>
    <w:unhideWhenUsed/>
    <w:qFormat/>
    <w:rsid w:val="00D05C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5CD7"/>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D05C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5C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5C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C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C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C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C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5C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5C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5C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5C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5C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C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C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CD7"/>
    <w:rPr>
      <w:rFonts w:eastAsiaTheme="majorEastAsia" w:cstheme="majorBidi"/>
      <w:color w:val="272727" w:themeColor="text1" w:themeTint="D8"/>
    </w:rPr>
  </w:style>
  <w:style w:type="paragraph" w:styleId="Title">
    <w:name w:val="Title"/>
    <w:basedOn w:val="Normal"/>
    <w:next w:val="Normal"/>
    <w:link w:val="TitleChar"/>
    <w:uiPriority w:val="10"/>
    <w:qFormat/>
    <w:rsid w:val="00D05C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C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CD7"/>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D05C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CD7"/>
    <w:pPr>
      <w:spacing w:before="160"/>
      <w:jc w:val="center"/>
    </w:pPr>
    <w:rPr>
      <w:i/>
      <w:iCs/>
      <w:color w:val="404040" w:themeColor="text1" w:themeTint="BF"/>
    </w:rPr>
  </w:style>
  <w:style w:type="character" w:customStyle="1" w:styleId="QuoteChar">
    <w:name w:val="Quote Char"/>
    <w:basedOn w:val="DefaultParagraphFont"/>
    <w:link w:val="Quote"/>
    <w:uiPriority w:val="29"/>
    <w:rsid w:val="00D05CD7"/>
    <w:rPr>
      <w:i/>
      <w:iCs/>
      <w:color w:val="404040" w:themeColor="text1" w:themeTint="BF"/>
    </w:rPr>
  </w:style>
  <w:style w:type="paragraph" w:styleId="ListParagraph">
    <w:name w:val="List Paragraph"/>
    <w:basedOn w:val="Normal"/>
    <w:uiPriority w:val="34"/>
    <w:qFormat/>
    <w:rsid w:val="00D05CD7"/>
    <w:pPr>
      <w:ind w:left="720"/>
      <w:contextualSpacing/>
    </w:pPr>
  </w:style>
  <w:style w:type="character" w:styleId="IntenseEmphasis">
    <w:name w:val="Intense Emphasis"/>
    <w:basedOn w:val="DefaultParagraphFont"/>
    <w:uiPriority w:val="21"/>
    <w:qFormat/>
    <w:rsid w:val="00D05CD7"/>
    <w:rPr>
      <w:i/>
      <w:iCs/>
      <w:color w:val="2F5496" w:themeColor="accent1" w:themeShade="BF"/>
    </w:rPr>
  </w:style>
  <w:style w:type="paragraph" w:styleId="IntenseQuote">
    <w:name w:val="Intense Quote"/>
    <w:basedOn w:val="Normal"/>
    <w:next w:val="Normal"/>
    <w:link w:val="IntenseQuoteChar"/>
    <w:uiPriority w:val="30"/>
    <w:qFormat/>
    <w:rsid w:val="00D05C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5CD7"/>
    <w:rPr>
      <w:i/>
      <w:iCs/>
      <w:color w:val="2F5496" w:themeColor="accent1" w:themeShade="BF"/>
    </w:rPr>
  </w:style>
  <w:style w:type="character" w:styleId="IntenseReference">
    <w:name w:val="Intense Reference"/>
    <w:basedOn w:val="DefaultParagraphFont"/>
    <w:uiPriority w:val="32"/>
    <w:qFormat/>
    <w:rsid w:val="00D05CD7"/>
    <w:rPr>
      <w:b/>
      <w:bCs/>
      <w:smallCaps/>
      <w:color w:val="2F5496" w:themeColor="accent1" w:themeShade="BF"/>
      <w:spacing w:val="5"/>
    </w:rPr>
  </w:style>
  <w:style w:type="paragraph" w:styleId="Header">
    <w:name w:val="header"/>
    <w:basedOn w:val="Normal"/>
    <w:link w:val="HeaderChar"/>
    <w:uiPriority w:val="99"/>
    <w:unhideWhenUsed/>
    <w:rsid w:val="00D05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CD7"/>
  </w:style>
  <w:style w:type="paragraph" w:styleId="Footer">
    <w:name w:val="footer"/>
    <w:basedOn w:val="Normal"/>
    <w:link w:val="FooterChar"/>
    <w:uiPriority w:val="99"/>
    <w:unhideWhenUsed/>
    <w:rsid w:val="00D05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CD7"/>
  </w:style>
  <w:style w:type="table" w:styleId="TableGrid">
    <w:name w:val="Table Grid"/>
    <w:basedOn w:val="TableNormal"/>
    <w:uiPriority w:val="39"/>
    <w:rsid w:val="00D0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ons">
    <w:name w:val="Affiliatons"/>
    <w:basedOn w:val="Normal"/>
    <w:link w:val="AffiliatonsChar"/>
    <w:qFormat/>
    <w:rsid w:val="00933F85"/>
    <w:pPr>
      <w:spacing w:after="0" w:line="240" w:lineRule="auto"/>
      <w:jc w:val="both"/>
    </w:pPr>
    <w:rPr>
      <w:rFonts w:cstheme="majorBidi"/>
      <w:color w:val="000000"/>
      <w:sz w:val="20"/>
      <w:szCs w:val="48"/>
      <w:lang w:bidi="ar-IQ"/>
      <w14:textFill>
        <w14:solidFill>
          <w14:srgbClr w14:val="000000">
            <w14:lumMod w14:val="75000"/>
          </w14:srgbClr>
        </w14:solidFill>
      </w14:textFill>
    </w:rPr>
  </w:style>
  <w:style w:type="character" w:customStyle="1" w:styleId="AffiliatonsChar">
    <w:name w:val="Affiliatons Char"/>
    <w:basedOn w:val="DefaultParagraphFont"/>
    <w:link w:val="Affiliatons"/>
    <w:rsid w:val="00933F85"/>
    <w:rPr>
      <w:rFonts w:asciiTheme="majorBidi" w:hAnsiTheme="majorBidi" w:cstheme="majorBidi"/>
      <w:color w:val="000000"/>
      <w:sz w:val="20"/>
      <w:szCs w:val="48"/>
      <w:lang w:bidi="ar-IQ"/>
      <w14:textFill>
        <w14:solidFill>
          <w14:srgbClr w14:val="000000">
            <w14:lumMod w14:val="75000"/>
          </w14:srgbClr>
        </w14:solidFill>
      </w14:textFill>
    </w:rPr>
  </w:style>
  <w:style w:type="character" w:styleId="Hyperlink">
    <w:name w:val="Hyperlink"/>
    <w:basedOn w:val="DefaultParagraphFont"/>
    <w:uiPriority w:val="99"/>
    <w:unhideWhenUsed/>
    <w:rsid w:val="00743771"/>
    <w:rPr>
      <w:color w:val="0563C1" w:themeColor="hyperlink"/>
      <w:u w:val="single"/>
    </w:rPr>
  </w:style>
  <w:style w:type="character" w:customStyle="1" w:styleId="UnresolvedMention">
    <w:name w:val="Unresolved Mention"/>
    <w:basedOn w:val="DefaultParagraphFont"/>
    <w:uiPriority w:val="99"/>
    <w:semiHidden/>
    <w:unhideWhenUsed/>
    <w:rsid w:val="00743771"/>
    <w:rPr>
      <w:color w:val="605E5C"/>
      <w:shd w:val="clear" w:color="auto" w:fill="E1DFDD"/>
    </w:rPr>
  </w:style>
  <w:style w:type="paragraph" w:styleId="NoSpacing">
    <w:name w:val="No Spacing"/>
    <w:aliases w:val="KEY"/>
    <w:link w:val="NoSpacingChar"/>
    <w:uiPriority w:val="1"/>
    <w:qFormat/>
    <w:rsid w:val="00F81D62"/>
    <w:pPr>
      <w:spacing w:after="240" w:line="240" w:lineRule="auto"/>
    </w:pPr>
    <w:rPr>
      <w:rFonts w:asciiTheme="majorBidi" w:hAnsiTheme="majorBidi"/>
      <w:color w:val="385623" w:themeColor="accent6" w:themeShade="80"/>
      <w:spacing w:val="30"/>
    </w:rPr>
  </w:style>
  <w:style w:type="paragraph" w:customStyle="1" w:styleId="ABSTRACTBODY">
    <w:name w:val="ABSTRACT BODY"/>
    <w:basedOn w:val="Affiliatons"/>
    <w:link w:val="ABSTRACTBODYChar"/>
    <w:qFormat/>
    <w:rsid w:val="00F81D62"/>
    <w:pPr>
      <w:spacing w:line="360" w:lineRule="auto"/>
      <w:jc w:val="left"/>
    </w:pPr>
    <w:rPr>
      <w:i/>
      <w14:cntxtAlts/>
    </w:rPr>
  </w:style>
  <w:style w:type="character" w:customStyle="1" w:styleId="NoSpacingChar">
    <w:name w:val="No Spacing Char"/>
    <w:aliases w:val="KEY Char"/>
    <w:basedOn w:val="DefaultParagraphFont"/>
    <w:link w:val="NoSpacing"/>
    <w:uiPriority w:val="1"/>
    <w:rsid w:val="00F81D62"/>
    <w:rPr>
      <w:rFonts w:asciiTheme="majorBidi" w:hAnsiTheme="majorBidi"/>
      <w:color w:val="385623" w:themeColor="accent6" w:themeShade="80"/>
      <w:spacing w:val="30"/>
    </w:rPr>
  </w:style>
  <w:style w:type="character" w:customStyle="1" w:styleId="ABSTRACTBODYChar">
    <w:name w:val="ABSTRACT BODY Char"/>
    <w:basedOn w:val="NoSpacingChar"/>
    <w:link w:val="ABSTRACTBODY"/>
    <w:rsid w:val="00F81D62"/>
    <w:rPr>
      <w:rFonts w:asciiTheme="majorBidi" w:hAnsiTheme="majorBidi" w:cstheme="majorBidi"/>
      <w:color w:val="000000"/>
      <w:spacing w:val="30"/>
      <w:sz w:val="20"/>
      <w:szCs w:val="48"/>
      <w:lang w:bidi="ar-IQ"/>
      <w14:textFill>
        <w14:solidFill>
          <w14:srgbClr w14:val="000000">
            <w14:lumMod w14:val="75000"/>
          </w14:srgbClr>
        </w14:solidFill>
      </w14:textFill>
      <w14:cntxtAlts/>
    </w:rPr>
  </w:style>
  <w:style w:type="paragraph" w:customStyle="1" w:styleId="Articalhistory">
    <w:name w:val="Artical history"/>
    <w:basedOn w:val="ABSTRACTBODY"/>
    <w:link w:val="ArticalhistoryChar"/>
    <w:qFormat/>
    <w:rsid w:val="003E4139"/>
    <w:rPr>
      <w:sz w:val="24"/>
    </w:rPr>
  </w:style>
  <w:style w:type="character" w:customStyle="1" w:styleId="ArticalhistoryChar">
    <w:name w:val="Artical history Char"/>
    <w:basedOn w:val="ABSTRACTBODYChar"/>
    <w:link w:val="Articalhistory"/>
    <w:rsid w:val="003E4139"/>
    <w:rPr>
      <w:rFonts w:asciiTheme="majorBidi" w:hAnsiTheme="majorBidi" w:cstheme="majorBidi"/>
      <w:i/>
      <w:color w:val="000000"/>
      <w:spacing w:val="30"/>
      <w:sz w:val="20"/>
      <w:szCs w:val="48"/>
      <w:lang w:bidi="ar-IQ"/>
      <w14:textFill>
        <w14:solidFill>
          <w14:srgbClr w14:val="000000">
            <w14:lumMod w14:val="75000"/>
          </w14:srgbClr>
        </w14:solidFill>
      </w14:textFill>
      <w14:cntxtAlts/>
    </w:rPr>
  </w:style>
  <w:style w:type="paragraph" w:customStyle="1" w:styleId="Authors">
    <w:name w:val="Authors"/>
    <w:basedOn w:val="Normal"/>
    <w:rsid w:val="00933F85"/>
    <w:pPr>
      <w:spacing w:before="340" w:after="0" w:line="240" w:lineRule="auto"/>
      <w:jc w:val="center"/>
    </w:pPr>
    <w:rPr>
      <w:rFonts w:ascii="Adobe Jenson" w:eastAsia="SimSun" w:hAnsi="Adobe Jenson" w:cs="Times New Roman"/>
      <w:color w:val="auto"/>
      <w:kern w:val="0"/>
      <w:lang w:val="en-US" w:eastAsia="zh-CN"/>
      <w14:ligatures w14:val="none"/>
    </w:rPr>
  </w:style>
  <w:style w:type="paragraph" w:customStyle="1" w:styleId="Correspondence">
    <w:name w:val="Correspondence"/>
    <w:basedOn w:val="Normal"/>
    <w:rsid w:val="00933F85"/>
    <w:pPr>
      <w:spacing w:before="200" w:after="0" w:line="240" w:lineRule="auto"/>
      <w:jc w:val="both"/>
    </w:pPr>
    <w:rPr>
      <w:rFonts w:ascii="Adobe Jenson" w:eastAsia="SimSun" w:hAnsi="Adobe Jenson" w:cs="Times New Roman"/>
      <w:color w:val="auto"/>
      <w:kern w:val="0"/>
      <w:sz w:val="16"/>
      <w:lang w:val="en-US" w:eastAsia="zh-CN"/>
      <w14:ligatures w14:val="none"/>
    </w:rPr>
  </w:style>
  <w:style w:type="paragraph" w:customStyle="1" w:styleId="AbstractHead">
    <w:name w:val="Abstract_Head"/>
    <w:basedOn w:val="Normal"/>
    <w:rsid w:val="00933F85"/>
    <w:pPr>
      <w:keepNext/>
      <w:spacing w:before="280" w:after="0" w:line="240" w:lineRule="auto"/>
      <w:outlineLvl w:val="0"/>
    </w:pPr>
    <w:rPr>
      <w:rFonts w:ascii="Adobe Jenson" w:eastAsia="SimSun" w:hAnsi="Adobe Jenson" w:cs="Times New Roman"/>
      <w:b/>
      <w:i/>
      <w:color w:val="auto"/>
      <w:kern w:val="0"/>
      <w:sz w:val="24"/>
      <w:lang w:val="en-US" w:eastAsia="zh-CN"/>
      <w14:ligatures w14:val="none"/>
    </w:rPr>
  </w:style>
  <w:style w:type="paragraph" w:customStyle="1" w:styleId="Abstract">
    <w:name w:val="Abstract"/>
    <w:basedOn w:val="Normal"/>
    <w:rsid w:val="00933F85"/>
    <w:pPr>
      <w:spacing w:before="280" w:after="0" w:line="240" w:lineRule="auto"/>
      <w:jc w:val="both"/>
    </w:pPr>
    <w:rPr>
      <w:rFonts w:ascii="Adobe Jenson" w:eastAsia="SimSun" w:hAnsi="Adobe Jenson" w:cs="Times New Roman"/>
      <w:color w:val="auto"/>
      <w:kern w:val="0"/>
      <w:sz w:val="20"/>
      <w:lang w:val="en-US" w:eastAsia="zh-CN"/>
      <w14:ligatures w14:val="none"/>
    </w:rPr>
  </w:style>
  <w:style w:type="paragraph" w:customStyle="1" w:styleId="Paragraph">
    <w:name w:val="Paragraph"/>
    <w:basedOn w:val="Normal"/>
    <w:rsid w:val="00B9166F"/>
    <w:pPr>
      <w:spacing w:before="280" w:after="0" w:line="240" w:lineRule="auto"/>
      <w:ind w:firstLine="284"/>
      <w:jc w:val="both"/>
    </w:pPr>
    <w:rPr>
      <w:rFonts w:ascii="Adobe Jenson" w:eastAsia="SimSun" w:hAnsi="Adobe Jenson" w:cs="Times New Roman"/>
      <w:color w:val="auto"/>
      <w:kern w:val="0"/>
      <w:sz w:val="20"/>
      <w:lang w:val="en-US" w:eastAsia="zh-CN"/>
      <w14:ligatures w14:val="none"/>
    </w:rPr>
  </w:style>
  <w:style w:type="table" w:customStyle="1" w:styleId="TableGrid1">
    <w:name w:val="Table Grid1"/>
    <w:basedOn w:val="TableNormal"/>
    <w:next w:val="TableGrid"/>
    <w:uiPriority w:val="59"/>
    <w:rsid w:val="00B9166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0-0003-3023-7087" TargetMode="External"/><Relationship Id="rId12" Type="http://schemas.openxmlformats.org/officeDocument/2006/relationships/hyperlink" Target="http://doi.org/10.64554/nujms.2025.1.1.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t-laboratory.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n240018me@st.tu.edu.iq" TargetMode="External"/><Relationship Id="rId5" Type="http://schemas.openxmlformats.org/officeDocument/2006/relationships/footnotes" Target="footnotes.xml"/><Relationship Id="rId15" Type="http://schemas.openxmlformats.org/officeDocument/2006/relationships/hyperlink" Target="https://doi.org/10.1016/j.semarthrit.2024.152586" TargetMode="External"/><Relationship Id="rId10" Type="http://schemas.openxmlformats.org/officeDocument/2006/relationships/hyperlink" Target="https://orcid.org/0000-0003-1829-961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portal.issn.org/resource/ISSN/3106-5430" TargetMode="External"/><Relationship Id="rId1" Type="http://schemas.openxmlformats.org/officeDocument/2006/relationships/hyperlink" Target="https://portal.issn.org/resource/ISSN/3106-5430"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3726</Words>
  <Characters>21241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samir</dc:creator>
  <cp:keywords/>
  <dc:description/>
  <cp:lastModifiedBy>SARA</cp:lastModifiedBy>
  <cp:revision>2</cp:revision>
  <cp:lastPrinted>2025-12-13T14:38:00Z</cp:lastPrinted>
  <dcterms:created xsi:type="dcterms:W3CDTF">2026-01-01T09:49:00Z</dcterms:created>
  <dcterms:modified xsi:type="dcterms:W3CDTF">2026-01-01T09:49:00Z</dcterms:modified>
</cp:coreProperties>
</file>